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EF9E46" w14:textId="77777777" w:rsidR="005F7B62" w:rsidRPr="00AE37BE" w:rsidRDefault="005F7B62" w:rsidP="007B4E2B">
      <w:pPr>
        <w:pStyle w:val="NoSpacing"/>
        <w:spacing w:line="480" w:lineRule="auto"/>
        <w:jc w:val="both"/>
        <w:rPr>
          <w:rFonts w:ascii="Verdana" w:hAnsi="Verdana"/>
          <w:b/>
        </w:rPr>
      </w:pPr>
      <w:r>
        <w:rPr>
          <w:rFonts w:ascii="Verdana" w:hAnsi="Verdana"/>
          <w:b/>
        </w:rPr>
        <w:t>Small area synthetic estimates of s</w:t>
      </w:r>
      <w:r w:rsidRPr="00AE37BE">
        <w:rPr>
          <w:rFonts w:ascii="Verdana" w:hAnsi="Verdana"/>
          <w:b/>
        </w:rPr>
        <w:t xml:space="preserve">moking prevalence </w:t>
      </w:r>
      <w:r>
        <w:rPr>
          <w:rFonts w:ascii="Verdana" w:hAnsi="Verdana"/>
          <w:b/>
        </w:rPr>
        <w:t>during pregnancy in England</w:t>
      </w:r>
    </w:p>
    <w:p w14:paraId="1797BA33" w14:textId="77777777" w:rsidR="005F7B62" w:rsidRDefault="005F7B62" w:rsidP="007B4E2B">
      <w:pPr>
        <w:pStyle w:val="NoSpacing"/>
        <w:spacing w:line="480" w:lineRule="auto"/>
        <w:jc w:val="both"/>
        <w:rPr>
          <w:rFonts w:ascii="Verdana" w:hAnsi="Verdana"/>
        </w:rPr>
      </w:pPr>
    </w:p>
    <w:p w14:paraId="32CEF70B" w14:textId="77777777" w:rsidR="005F7B62" w:rsidRPr="007B4E2B" w:rsidRDefault="005F7B62" w:rsidP="007B4E2B">
      <w:pPr>
        <w:pStyle w:val="NoSpacing"/>
        <w:spacing w:line="480" w:lineRule="auto"/>
        <w:jc w:val="both"/>
        <w:rPr>
          <w:rFonts w:ascii="Verdana" w:hAnsi="Verdana"/>
        </w:rPr>
      </w:pPr>
      <w:r w:rsidRPr="007B4E2B">
        <w:rPr>
          <w:rFonts w:ascii="Verdana" w:hAnsi="Verdana"/>
        </w:rPr>
        <w:t>Lisa Szatkowski, Sam</w:t>
      </w:r>
      <w:r w:rsidR="007B4E2B" w:rsidRPr="007B4E2B">
        <w:rPr>
          <w:rFonts w:ascii="Verdana" w:hAnsi="Verdana"/>
        </w:rPr>
        <w:t>antha J.</w:t>
      </w:r>
      <w:r w:rsidRPr="007B4E2B">
        <w:rPr>
          <w:rFonts w:ascii="Verdana" w:hAnsi="Verdana"/>
        </w:rPr>
        <w:t xml:space="preserve"> </w:t>
      </w:r>
      <w:proofErr w:type="spellStart"/>
      <w:r w:rsidRPr="007B4E2B">
        <w:rPr>
          <w:rFonts w:ascii="Verdana" w:hAnsi="Verdana"/>
        </w:rPr>
        <w:t>Fahy</w:t>
      </w:r>
      <w:proofErr w:type="spellEnd"/>
      <w:r w:rsidRPr="007B4E2B">
        <w:rPr>
          <w:rFonts w:ascii="Verdana" w:hAnsi="Verdana"/>
        </w:rPr>
        <w:t xml:space="preserve">, Tim Coleman, Joanna Taylor, Liz </w:t>
      </w:r>
      <w:proofErr w:type="spellStart"/>
      <w:r w:rsidRPr="007B4E2B">
        <w:rPr>
          <w:rFonts w:ascii="Verdana" w:hAnsi="Verdana"/>
        </w:rPr>
        <w:t>Twigg</w:t>
      </w:r>
      <w:proofErr w:type="spellEnd"/>
      <w:r w:rsidRPr="007B4E2B">
        <w:rPr>
          <w:rFonts w:ascii="Verdana" w:hAnsi="Verdana"/>
        </w:rPr>
        <w:t>, Graham Moon and Jo Leonardi-Bee</w:t>
      </w:r>
    </w:p>
    <w:p w14:paraId="48E82388" w14:textId="77777777" w:rsidR="005F7B62" w:rsidRPr="007B4E2B" w:rsidRDefault="005F7B62" w:rsidP="007B4E2B">
      <w:pPr>
        <w:pStyle w:val="NoSpacing"/>
        <w:spacing w:line="480" w:lineRule="auto"/>
        <w:jc w:val="both"/>
        <w:rPr>
          <w:rFonts w:ascii="Verdana" w:hAnsi="Verdana"/>
        </w:rPr>
      </w:pPr>
    </w:p>
    <w:p w14:paraId="0CA7FDA3" w14:textId="77777777" w:rsidR="005F7B62" w:rsidRPr="007B4E2B" w:rsidRDefault="005F7B62" w:rsidP="007B4E2B">
      <w:pPr>
        <w:pStyle w:val="NoSpacing"/>
        <w:spacing w:line="480" w:lineRule="auto"/>
        <w:jc w:val="both"/>
        <w:rPr>
          <w:rFonts w:ascii="Verdana" w:hAnsi="Verdana"/>
          <w:sz w:val="18"/>
        </w:rPr>
      </w:pPr>
      <w:r w:rsidRPr="007B4E2B">
        <w:rPr>
          <w:rFonts w:ascii="Verdana" w:hAnsi="Verdana"/>
          <w:sz w:val="18"/>
        </w:rPr>
        <w:t xml:space="preserve">Lisa Szatkowski: University of Nottingham, School of Medicine, Division of Epidemiology and Public Health, Clinical Sciences Building, Nottingham City Hospital, Nottingham, NG5 1PB. Email: </w:t>
      </w:r>
      <w:hyperlink r:id="rId8" w:history="1">
        <w:r w:rsidRPr="007B4E2B">
          <w:rPr>
            <w:rStyle w:val="Hyperlink"/>
            <w:rFonts w:ascii="Verdana" w:hAnsi="Verdana"/>
            <w:color w:val="auto"/>
            <w:sz w:val="18"/>
          </w:rPr>
          <w:t>lisa.szatkowski@nottingham.ac.uk</w:t>
        </w:r>
      </w:hyperlink>
      <w:r w:rsidRPr="007B4E2B">
        <w:rPr>
          <w:rFonts w:ascii="Verdana" w:hAnsi="Verdana"/>
          <w:sz w:val="18"/>
        </w:rPr>
        <w:t xml:space="preserve">. </w:t>
      </w:r>
    </w:p>
    <w:p w14:paraId="23BA18E7" w14:textId="77777777" w:rsidR="005F7B62" w:rsidRPr="007B4E2B" w:rsidRDefault="005F7B62" w:rsidP="007B4E2B">
      <w:pPr>
        <w:pStyle w:val="NoSpacing"/>
        <w:spacing w:line="480" w:lineRule="auto"/>
        <w:jc w:val="both"/>
        <w:rPr>
          <w:rFonts w:ascii="Verdana" w:hAnsi="Verdana"/>
          <w:sz w:val="18"/>
        </w:rPr>
      </w:pPr>
      <w:r w:rsidRPr="007B4E2B">
        <w:rPr>
          <w:rFonts w:ascii="Verdana" w:hAnsi="Verdana"/>
          <w:sz w:val="18"/>
        </w:rPr>
        <w:t>Sam</w:t>
      </w:r>
      <w:r w:rsidR="007B4E2B" w:rsidRPr="007B4E2B">
        <w:rPr>
          <w:rFonts w:ascii="Verdana" w:hAnsi="Verdana"/>
          <w:sz w:val="18"/>
        </w:rPr>
        <w:t>antha J.</w:t>
      </w:r>
      <w:r w:rsidRPr="007B4E2B">
        <w:rPr>
          <w:rFonts w:ascii="Verdana" w:hAnsi="Verdana"/>
          <w:sz w:val="18"/>
        </w:rPr>
        <w:t xml:space="preserve"> </w:t>
      </w:r>
      <w:proofErr w:type="spellStart"/>
      <w:r w:rsidRPr="007B4E2B">
        <w:rPr>
          <w:rFonts w:ascii="Verdana" w:hAnsi="Verdana"/>
          <w:sz w:val="18"/>
        </w:rPr>
        <w:t>Fahy</w:t>
      </w:r>
      <w:proofErr w:type="spellEnd"/>
      <w:r w:rsidRPr="007B4E2B">
        <w:rPr>
          <w:rFonts w:ascii="Verdana" w:hAnsi="Verdana"/>
          <w:sz w:val="18"/>
        </w:rPr>
        <w:t xml:space="preserve">: University of Nottingham, School of Medicine, Division of Primary Care, Medical School, Queen’s Medical Centre, Nottingham, NG7 2UH. Email: </w:t>
      </w:r>
      <w:hyperlink r:id="rId9" w:history="1">
        <w:r w:rsidRPr="007B4E2B">
          <w:rPr>
            <w:rStyle w:val="Hyperlink"/>
            <w:rFonts w:ascii="Verdana" w:hAnsi="Verdana"/>
            <w:color w:val="auto"/>
            <w:sz w:val="18"/>
          </w:rPr>
          <w:t>samantha.fahy@nottingham.ac.uk</w:t>
        </w:r>
      </w:hyperlink>
    </w:p>
    <w:p w14:paraId="355A22B8" w14:textId="77777777" w:rsidR="005F7B62" w:rsidRPr="006D3004" w:rsidRDefault="005F7B62" w:rsidP="007B4E2B">
      <w:pPr>
        <w:pStyle w:val="NoSpacing"/>
        <w:spacing w:line="480" w:lineRule="auto"/>
        <w:jc w:val="both"/>
        <w:rPr>
          <w:rFonts w:ascii="Verdana" w:hAnsi="Verdana"/>
          <w:sz w:val="18"/>
        </w:rPr>
      </w:pPr>
      <w:r w:rsidRPr="006D3004">
        <w:rPr>
          <w:rFonts w:ascii="Verdana" w:hAnsi="Verdana"/>
          <w:sz w:val="18"/>
        </w:rPr>
        <w:t xml:space="preserve">Tim Coleman: University of Nottingham, School of Medicine, Division of Primary Care, Medical School, Queen’s Medical Centre, Nottingham, NG7 2UH. Email: </w:t>
      </w:r>
      <w:hyperlink r:id="rId10" w:history="1">
        <w:r w:rsidRPr="006D3004">
          <w:rPr>
            <w:rStyle w:val="Hyperlink"/>
            <w:rFonts w:ascii="Verdana" w:hAnsi="Verdana"/>
            <w:sz w:val="18"/>
          </w:rPr>
          <w:t>tim.coleman@nottingham.ac.uk</w:t>
        </w:r>
      </w:hyperlink>
    </w:p>
    <w:p w14:paraId="5DF2CDA6" w14:textId="7833CAEF" w:rsidR="005F7B62" w:rsidRPr="006D3004" w:rsidRDefault="005F7B62" w:rsidP="007B4E2B">
      <w:pPr>
        <w:pStyle w:val="NoSpacing"/>
        <w:spacing w:line="480" w:lineRule="auto"/>
        <w:jc w:val="both"/>
        <w:rPr>
          <w:rFonts w:ascii="Verdana" w:hAnsi="Verdana"/>
          <w:sz w:val="18"/>
        </w:rPr>
      </w:pPr>
      <w:r w:rsidRPr="006D3004">
        <w:rPr>
          <w:rFonts w:ascii="Verdana" w:hAnsi="Verdana"/>
          <w:sz w:val="18"/>
        </w:rPr>
        <w:t xml:space="preserve">Joanna Taylor: University of Southampton, Geography and the Environment, University Road, Southampton, SO17 1BJ. Email: </w:t>
      </w:r>
      <w:hyperlink r:id="rId11" w:history="1">
        <w:r w:rsidRPr="006D3004">
          <w:rPr>
            <w:rStyle w:val="Hyperlink"/>
            <w:rFonts w:ascii="Verdana" w:hAnsi="Verdana"/>
            <w:sz w:val="18"/>
          </w:rPr>
          <w:t>joanna.taylor@port.ac.uk</w:t>
        </w:r>
      </w:hyperlink>
      <w:r w:rsidRPr="006D3004">
        <w:rPr>
          <w:rFonts w:ascii="Verdana" w:hAnsi="Verdana"/>
          <w:sz w:val="18"/>
        </w:rPr>
        <w:t xml:space="preserve"> (wo</w:t>
      </w:r>
      <w:r w:rsidR="006E1635">
        <w:rPr>
          <w:rFonts w:ascii="Verdana" w:hAnsi="Verdana"/>
          <w:sz w:val="18"/>
        </w:rPr>
        <w:t>rk carried out whilst at Univer</w:t>
      </w:r>
      <w:r w:rsidRPr="006D3004">
        <w:rPr>
          <w:rFonts w:ascii="Verdana" w:hAnsi="Verdana"/>
          <w:sz w:val="18"/>
        </w:rPr>
        <w:t>s</w:t>
      </w:r>
      <w:r w:rsidR="006E1635">
        <w:rPr>
          <w:rFonts w:ascii="Verdana" w:hAnsi="Verdana"/>
          <w:sz w:val="18"/>
        </w:rPr>
        <w:t>i</w:t>
      </w:r>
      <w:r w:rsidRPr="006D3004">
        <w:rPr>
          <w:rFonts w:ascii="Verdana" w:hAnsi="Verdana"/>
          <w:sz w:val="18"/>
        </w:rPr>
        <w:t>ty of Southampton, now at University of Portsmouth)</w:t>
      </w:r>
    </w:p>
    <w:p w14:paraId="46C84D38" w14:textId="77777777" w:rsidR="005F7B62" w:rsidRPr="006D3004" w:rsidRDefault="005F7B62" w:rsidP="007B4E2B">
      <w:pPr>
        <w:pStyle w:val="NoSpacing"/>
        <w:spacing w:line="480" w:lineRule="auto"/>
        <w:jc w:val="both"/>
        <w:rPr>
          <w:rFonts w:ascii="Verdana" w:hAnsi="Verdana"/>
          <w:sz w:val="18"/>
        </w:rPr>
      </w:pPr>
      <w:r w:rsidRPr="006D3004">
        <w:rPr>
          <w:rFonts w:ascii="Verdana" w:hAnsi="Verdana"/>
          <w:sz w:val="18"/>
        </w:rPr>
        <w:t xml:space="preserve">Liz </w:t>
      </w:r>
      <w:proofErr w:type="spellStart"/>
      <w:r w:rsidRPr="006D3004">
        <w:rPr>
          <w:rFonts w:ascii="Verdana" w:hAnsi="Verdana"/>
          <w:sz w:val="18"/>
        </w:rPr>
        <w:t>Twigg</w:t>
      </w:r>
      <w:proofErr w:type="spellEnd"/>
      <w:r w:rsidRPr="006D3004">
        <w:rPr>
          <w:rFonts w:ascii="Verdana" w:hAnsi="Verdana"/>
          <w:sz w:val="18"/>
        </w:rPr>
        <w:t xml:space="preserve">: University of Portsmouth, Department of Geography, Buckingham Building, Lion Terrace, Portsmouth, PO1 3HE. Email: </w:t>
      </w:r>
      <w:hyperlink r:id="rId12" w:history="1">
        <w:r w:rsidRPr="006D3004">
          <w:rPr>
            <w:rStyle w:val="Hyperlink"/>
            <w:rFonts w:ascii="Verdana" w:hAnsi="Verdana"/>
            <w:sz w:val="18"/>
          </w:rPr>
          <w:t>liz.twigg@port.ac.uk</w:t>
        </w:r>
      </w:hyperlink>
      <w:r w:rsidRPr="006D3004">
        <w:rPr>
          <w:rFonts w:ascii="Verdana" w:hAnsi="Verdana"/>
          <w:sz w:val="18"/>
        </w:rPr>
        <w:t xml:space="preserve"> </w:t>
      </w:r>
    </w:p>
    <w:p w14:paraId="0D47371C" w14:textId="77777777" w:rsidR="005F7B62" w:rsidRPr="006D3004" w:rsidRDefault="005F7B62" w:rsidP="007B4E2B">
      <w:pPr>
        <w:pStyle w:val="NoSpacing"/>
        <w:spacing w:line="480" w:lineRule="auto"/>
        <w:jc w:val="both"/>
        <w:rPr>
          <w:rFonts w:ascii="Verdana" w:hAnsi="Verdana"/>
          <w:sz w:val="18"/>
        </w:rPr>
      </w:pPr>
      <w:r w:rsidRPr="006D3004">
        <w:rPr>
          <w:rFonts w:ascii="Verdana" w:hAnsi="Verdana"/>
          <w:sz w:val="18"/>
        </w:rPr>
        <w:t>Graham Moon:</w:t>
      </w:r>
      <w:r w:rsidRPr="006D3004">
        <w:rPr>
          <w:rFonts w:ascii="Verdana" w:hAnsi="Verdana"/>
          <w:sz w:val="18"/>
          <w:vertAlign w:val="superscript"/>
        </w:rPr>
        <w:t xml:space="preserve"> </w:t>
      </w:r>
      <w:r w:rsidRPr="006D3004">
        <w:rPr>
          <w:rFonts w:ascii="Verdana" w:hAnsi="Verdana"/>
          <w:sz w:val="18"/>
        </w:rPr>
        <w:t xml:space="preserve">University of Southampton, Geography and the Environment, University Road, Southampton, SO17 1BJ. Email: </w:t>
      </w:r>
      <w:hyperlink r:id="rId13" w:history="1">
        <w:r w:rsidRPr="006D3004">
          <w:rPr>
            <w:rStyle w:val="Hyperlink"/>
            <w:rFonts w:ascii="Verdana" w:hAnsi="Verdana"/>
            <w:sz w:val="18"/>
          </w:rPr>
          <w:t>G.Moon@soton.ac.uk</w:t>
        </w:r>
      </w:hyperlink>
    </w:p>
    <w:p w14:paraId="0019F7E1" w14:textId="77777777" w:rsidR="005F7B62" w:rsidRPr="006D3004" w:rsidRDefault="005F7B62" w:rsidP="007B4E2B">
      <w:pPr>
        <w:pStyle w:val="NoSpacing"/>
        <w:spacing w:line="480" w:lineRule="auto"/>
        <w:jc w:val="both"/>
        <w:rPr>
          <w:rFonts w:ascii="Verdana" w:hAnsi="Verdana"/>
          <w:sz w:val="18"/>
        </w:rPr>
      </w:pPr>
      <w:r w:rsidRPr="006D3004">
        <w:rPr>
          <w:rFonts w:ascii="Verdana" w:hAnsi="Verdana"/>
          <w:sz w:val="18"/>
        </w:rPr>
        <w:t xml:space="preserve">Jo Leonardi-Bee: University of Nottingham, School of Medicine, Division of Epidemiology and Public Health, Clinical Sciences Building, Nottingham City Hospital, Nottingham, NG5 1PB. Email: </w:t>
      </w:r>
      <w:hyperlink r:id="rId14" w:history="1">
        <w:r w:rsidRPr="006D3004">
          <w:rPr>
            <w:rStyle w:val="Hyperlink"/>
            <w:rFonts w:ascii="Verdana" w:hAnsi="Verdana"/>
            <w:sz w:val="18"/>
          </w:rPr>
          <w:t>jo.leonardi-bee@nottingham.ac.uk</w:t>
        </w:r>
      </w:hyperlink>
    </w:p>
    <w:p w14:paraId="7F4729E2" w14:textId="77777777" w:rsidR="005F7B62" w:rsidRDefault="005F7B62" w:rsidP="007B4E2B">
      <w:pPr>
        <w:pStyle w:val="NoSpacing"/>
        <w:spacing w:line="480" w:lineRule="auto"/>
        <w:jc w:val="both"/>
        <w:rPr>
          <w:rFonts w:ascii="Verdana" w:hAnsi="Verdana"/>
        </w:rPr>
      </w:pPr>
    </w:p>
    <w:p w14:paraId="681EB751" w14:textId="77777777" w:rsidR="005F7B62" w:rsidRDefault="005F7B62" w:rsidP="007B4E2B">
      <w:pPr>
        <w:pStyle w:val="NoSpacing"/>
        <w:spacing w:line="480" w:lineRule="auto"/>
        <w:jc w:val="both"/>
        <w:rPr>
          <w:rFonts w:ascii="Verdana" w:hAnsi="Verdana"/>
        </w:rPr>
      </w:pPr>
      <w:r>
        <w:rPr>
          <w:rFonts w:ascii="Verdana" w:hAnsi="Verdana"/>
        </w:rPr>
        <w:t xml:space="preserve">Corresponding author: </w:t>
      </w:r>
      <w:hyperlink r:id="rId15" w:history="1">
        <w:r w:rsidRPr="005F5653">
          <w:rPr>
            <w:rStyle w:val="Hyperlink"/>
            <w:rFonts w:ascii="Verdana" w:hAnsi="Verdana"/>
          </w:rPr>
          <w:t>lisa.szatkowski@nottingham.ac.uk</w:t>
        </w:r>
      </w:hyperlink>
    </w:p>
    <w:p w14:paraId="7D6B7B69" w14:textId="77777777" w:rsidR="005F7B62" w:rsidRDefault="005F7B62" w:rsidP="007B4E2B">
      <w:pPr>
        <w:pStyle w:val="NoSpacing"/>
        <w:spacing w:line="480" w:lineRule="auto"/>
        <w:jc w:val="both"/>
        <w:rPr>
          <w:rFonts w:ascii="Verdana" w:hAnsi="Verdana"/>
        </w:rPr>
      </w:pPr>
    </w:p>
    <w:p w14:paraId="1F6A54F2" w14:textId="77777777" w:rsidR="005F7B62" w:rsidRDefault="005F7B62" w:rsidP="007B4E2B">
      <w:pPr>
        <w:pStyle w:val="NoSpacing"/>
        <w:spacing w:line="480" w:lineRule="auto"/>
        <w:jc w:val="both"/>
        <w:rPr>
          <w:rFonts w:ascii="Verdana" w:hAnsi="Verdana"/>
        </w:rPr>
      </w:pPr>
    </w:p>
    <w:p w14:paraId="4D498DAC" w14:textId="77777777" w:rsidR="005F7B62" w:rsidRDefault="005F7B62" w:rsidP="007B4E2B">
      <w:pPr>
        <w:pStyle w:val="NoSpacing"/>
        <w:spacing w:line="480" w:lineRule="auto"/>
        <w:jc w:val="both"/>
        <w:rPr>
          <w:rFonts w:ascii="Verdana" w:hAnsi="Verdana"/>
          <w:b/>
        </w:rPr>
        <w:sectPr w:rsidR="005F7B62" w:rsidSect="007B4E2B">
          <w:footerReference w:type="default" r:id="rId16"/>
          <w:pgSz w:w="11900" w:h="16840"/>
          <w:pgMar w:top="1440" w:right="1800" w:bottom="1440" w:left="1800" w:header="708" w:footer="708" w:gutter="0"/>
          <w:cols w:space="708"/>
          <w:docGrid w:linePitch="360"/>
        </w:sectPr>
      </w:pPr>
    </w:p>
    <w:p w14:paraId="19CCDD72" w14:textId="77777777" w:rsidR="005F7B62" w:rsidRPr="00660F5E" w:rsidRDefault="005F7B62" w:rsidP="007B4E2B">
      <w:pPr>
        <w:pStyle w:val="NoSpacing"/>
        <w:spacing w:line="480" w:lineRule="auto"/>
        <w:jc w:val="both"/>
        <w:rPr>
          <w:rFonts w:ascii="Verdana" w:hAnsi="Verdana"/>
          <w:b/>
        </w:rPr>
      </w:pPr>
      <w:r w:rsidRPr="00660F5E">
        <w:rPr>
          <w:rFonts w:ascii="Verdana" w:hAnsi="Verdana"/>
          <w:b/>
        </w:rPr>
        <w:lastRenderedPageBreak/>
        <w:t>Abstract</w:t>
      </w:r>
    </w:p>
    <w:p w14:paraId="63582FB6" w14:textId="77777777" w:rsidR="005F7B62" w:rsidRDefault="005F7B62" w:rsidP="007B4E2B">
      <w:pPr>
        <w:pStyle w:val="NoSpacing"/>
        <w:spacing w:line="480" w:lineRule="auto"/>
        <w:jc w:val="both"/>
        <w:rPr>
          <w:rFonts w:ascii="Verdana" w:hAnsi="Verdana"/>
        </w:rPr>
      </w:pPr>
    </w:p>
    <w:p w14:paraId="492B3607" w14:textId="77777777" w:rsidR="005F7B62" w:rsidRDefault="005F7B62" w:rsidP="007B4E2B">
      <w:pPr>
        <w:pStyle w:val="NoSpacing"/>
        <w:spacing w:line="480" w:lineRule="auto"/>
        <w:jc w:val="both"/>
        <w:rPr>
          <w:rFonts w:ascii="Verdana" w:hAnsi="Verdana"/>
        </w:rPr>
      </w:pPr>
      <w:r>
        <w:rPr>
          <w:rFonts w:ascii="Verdana" w:hAnsi="Verdana"/>
        </w:rPr>
        <w:t>Background: Complete and accurate data on maternal smoking prevalence during pregnancy are not available at a local geographical scale in England. We employ a synthetic estimation approach to predict the expected prevalence of smoking during pregnancy and smoking at delivery by Primary Care Trust (PCT).</w:t>
      </w:r>
    </w:p>
    <w:p w14:paraId="19C48D60" w14:textId="77777777" w:rsidR="005F7B62" w:rsidRDefault="005F7B62" w:rsidP="007B4E2B">
      <w:pPr>
        <w:pStyle w:val="NoSpacing"/>
        <w:spacing w:line="480" w:lineRule="auto"/>
        <w:jc w:val="both"/>
        <w:rPr>
          <w:rFonts w:ascii="Verdana" w:hAnsi="Verdana"/>
        </w:rPr>
      </w:pPr>
    </w:p>
    <w:p w14:paraId="247065C2" w14:textId="77777777" w:rsidR="005F7B62" w:rsidRDefault="005F7B62" w:rsidP="007B4E2B">
      <w:pPr>
        <w:pStyle w:val="NoSpacing"/>
        <w:spacing w:line="480" w:lineRule="auto"/>
        <w:jc w:val="both"/>
        <w:rPr>
          <w:rFonts w:ascii="Verdana" w:hAnsi="Verdana"/>
        </w:rPr>
      </w:pPr>
      <w:r>
        <w:rPr>
          <w:rFonts w:ascii="Verdana" w:hAnsi="Verdana"/>
        </w:rPr>
        <w:t>Methods: Multilevel logistic regression models were used with data from the 2010 Infant Feeding Survey and 2011 Census to predict the probability of mothers (a) smoking at any point during pregnancy and (b) smoking at delivery according to age, deprivation and the ethnic profile of the home area. These probabilities were applied to demographic information on mothers giving birth from 2010/11 Hospital Episode Statistics data to produce expected counts, and prevalence figures, of smokers by PCT, with Bayesian 95% credible intervals. The expected prevalence of smoking at delivery by PCT was compared with midwife-collected Smoking at the Time of Delivery (SATOD) data using a Bland-Altman plot.</w:t>
      </w:r>
    </w:p>
    <w:p w14:paraId="06FC7AB4" w14:textId="77777777" w:rsidR="005F7B62" w:rsidRDefault="005F7B62" w:rsidP="007B4E2B">
      <w:pPr>
        <w:pStyle w:val="NoSpacing"/>
        <w:spacing w:line="480" w:lineRule="auto"/>
        <w:jc w:val="both"/>
        <w:rPr>
          <w:rFonts w:ascii="Verdana" w:hAnsi="Verdana"/>
        </w:rPr>
      </w:pPr>
    </w:p>
    <w:p w14:paraId="1EFBF9D9" w14:textId="77777777" w:rsidR="005F7B62" w:rsidRDefault="005F7B62" w:rsidP="007B4E2B">
      <w:pPr>
        <w:pStyle w:val="NoSpacing"/>
        <w:spacing w:line="480" w:lineRule="auto"/>
        <w:jc w:val="both"/>
        <w:rPr>
          <w:rFonts w:ascii="Verdana" w:hAnsi="Verdana"/>
        </w:rPr>
      </w:pPr>
      <w:r>
        <w:rPr>
          <w:rFonts w:ascii="Verdana" w:hAnsi="Verdana"/>
        </w:rPr>
        <w:t>Results: The expected prevalence of smoking during pregnancy by PCT ranged from 8.1% (95% CI 5.6-1.0) to 31.6% (27.5-34.8). The expected prevalence of smoking at delivery ranged from 2.5% (1.4-4.0) to 17.1% (13.7-20.4). Figures for expected smoking prevalence at delivery showed some agreement with SATOD, though SATOD data were general higher than the synthetic estimates (mean difference 2.99%).</w:t>
      </w:r>
      <w:r w:rsidRPr="006D101D">
        <w:rPr>
          <w:rFonts w:ascii="Verdana" w:hAnsi="Verdana"/>
        </w:rPr>
        <w:t xml:space="preserve"> </w:t>
      </w:r>
    </w:p>
    <w:p w14:paraId="43ACC4FC" w14:textId="77777777" w:rsidR="005F7B62" w:rsidRDefault="005F7B62" w:rsidP="007B4E2B">
      <w:pPr>
        <w:pStyle w:val="NoSpacing"/>
        <w:spacing w:line="480" w:lineRule="auto"/>
        <w:jc w:val="both"/>
        <w:rPr>
          <w:rFonts w:ascii="Verdana" w:hAnsi="Verdana"/>
        </w:rPr>
      </w:pPr>
    </w:p>
    <w:p w14:paraId="560DD881" w14:textId="77777777" w:rsidR="005F7B62" w:rsidRDefault="005F7B62" w:rsidP="007B4E2B">
      <w:pPr>
        <w:pStyle w:val="NoSpacing"/>
        <w:spacing w:line="480" w:lineRule="auto"/>
        <w:jc w:val="both"/>
        <w:rPr>
          <w:rFonts w:ascii="Verdana" w:hAnsi="Verdana"/>
        </w:rPr>
      </w:pPr>
      <w:r>
        <w:rPr>
          <w:rFonts w:ascii="Verdana" w:hAnsi="Verdana"/>
        </w:rPr>
        <w:lastRenderedPageBreak/>
        <w:t>Conclusions: It is possible to derive good estimates of expected smoking prevalence during pregnancy for small areas, potentially at much lower cost than conducting large surveys.</w:t>
      </w:r>
      <w:r w:rsidRPr="00BF4B0B">
        <w:rPr>
          <w:rFonts w:ascii="Verdana" w:hAnsi="Verdana"/>
        </w:rPr>
        <w:t xml:space="preserve"> </w:t>
      </w:r>
      <w:r>
        <w:rPr>
          <w:rFonts w:ascii="Verdana" w:hAnsi="Verdana"/>
        </w:rPr>
        <w:t>Such data may be useful to help plan and commission smoking cessation services and monitor their effectiveness.</w:t>
      </w:r>
    </w:p>
    <w:p w14:paraId="6C37A859" w14:textId="77777777" w:rsidR="005F7B62" w:rsidRDefault="005F7B62" w:rsidP="007B4E2B">
      <w:pPr>
        <w:pStyle w:val="NoSpacing"/>
        <w:spacing w:line="480" w:lineRule="auto"/>
        <w:jc w:val="both"/>
        <w:rPr>
          <w:rFonts w:ascii="Verdana" w:hAnsi="Verdana"/>
        </w:rPr>
      </w:pPr>
    </w:p>
    <w:p w14:paraId="2E425638" w14:textId="77777777" w:rsidR="005F7B62" w:rsidRDefault="005F7B62" w:rsidP="007B4E2B">
      <w:pPr>
        <w:pStyle w:val="NoSpacing"/>
        <w:spacing w:line="480" w:lineRule="auto"/>
        <w:jc w:val="both"/>
        <w:rPr>
          <w:rFonts w:ascii="Verdana" w:hAnsi="Verdana"/>
        </w:rPr>
      </w:pPr>
    </w:p>
    <w:p w14:paraId="41F26DCC" w14:textId="77777777" w:rsidR="005F7B62" w:rsidRDefault="005F7B62" w:rsidP="007B4E2B">
      <w:pPr>
        <w:pStyle w:val="NoSpacing"/>
        <w:spacing w:line="480" w:lineRule="auto"/>
        <w:jc w:val="both"/>
        <w:rPr>
          <w:rFonts w:ascii="Verdana" w:hAnsi="Verdana"/>
        </w:rPr>
      </w:pPr>
    </w:p>
    <w:p w14:paraId="0C6B0195" w14:textId="77777777" w:rsidR="005F7B62" w:rsidRDefault="005F7B62" w:rsidP="007B4E2B">
      <w:pPr>
        <w:pStyle w:val="NoSpacing"/>
        <w:spacing w:line="480" w:lineRule="auto"/>
        <w:jc w:val="both"/>
        <w:rPr>
          <w:rFonts w:ascii="Verdana" w:hAnsi="Verdana"/>
        </w:rPr>
      </w:pPr>
      <w:r w:rsidRPr="00737343">
        <w:rPr>
          <w:rFonts w:ascii="Verdana" w:hAnsi="Verdana"/>
          <w:b/>
        </w:rPr>
        <w:t>Key words:</w:t>
      </w:r>
      <w:r>
        <w:rPr>
          <w:rFonts w:ascii="Verdana" w:hAnsi="Verdana"/>
        </w:rPr>
        <w:t xml:space="preserve"> smoking, pregnancy, synthetic estimation</w:t>
      </w:r>
    </w:p>
    <w:p w14:paraId="002855C6" w14:textId="77777777" w:rsidR="005F7B62" w:rsidRDefault="005F7B62" w:rsidP="007B4E2B">
      <w:pPr>
        <w:pStyle w:val="NoSpacing"/>
        <w:spacing w:line="480" w:lineRule="auto"/>
        <w:jc w:val="both"/>
        <w:rPr>
          <w:rFonts w:ascii="Verdana" w:hAnsi="Verdana"/>
        </w:rPr>
      </w:pPr>
    </w:p>
    <w:p w14:paraId="266F3997" w14:textId="77777777" w:rsidR="005F7B62" w:rsidRDefault="005F7B62" w:rsidP="007B4E2B">
      <w:pPr>
        <w:pStyle w:val="NoSpacing"/>
        <w:spacing w:line="480" w:lineRule="auto"/>
        <w:jc w:val="both"/>
        <w:rPr>
          <w:rFonts w:ascii="Verdana" w:hAnsi="Verdana"/>
        </w:rPr>
      </w:pPr>
    </w:p>
    <w:p w14:paraId="1401133A" w14:textId="77777777" w:rsidR="005F7B62" w:rsidRDefault="005F7B62" w:rsidP="007B4E2B">
      <w:pPr>
        <w:pStyle w:val="NoSpacing"/>
        <w:spacing w:line="480" w:lineRule="auto"/>
        <w:jc w:val="both"/>
        <w:rPr>
          <w:rFonts w:ascii="Verdana" w:hAnsi="Verdana"/>
        </w:rPr>
      </w:pPr>
    </w:p>
    <w:p w14:paraId="084B50DF" w14:textId="77777777" w:rsidR="005F7B62" w:rsidRDefault="005F7B62" w:rsidP="007B4E2B">
      <w:pPr>
        <w:pStyle w:val="NoSpacing"/>
        <w:spacing w:line="480" w:lineRule="auto"/>
        <w:jc w:val="both"/>
        <w:rPr>
          <w:rFonts w:ascii="Verdana" w:hAnsi="Verdana"/>
        </w:rPr>
      </w:pPr>
    </w:p>
    <w:p w14:paraId="4C6A2259" w14:textId="77777777" w:rsidR="005F7B62" w:rsidRDefault="005F7B62" w:rsidP="007B4E2B">
      <w:pPr>
        <w:pStyle w:val="NoSpacing"/>
        <w:spacing w:line="480" w:lineRule="auto"/>
        <w:jc w:val="both"/>
        <w:rPr>
          <w:rFonts w:ascii="Verdana" w:hAnsi="Verdana"/>
        </w:rPr>
      </w:pPr>
    </w:p>
    <w:p w14:paraId="1EB49809" w14:textId="77777777" w:rsidR="005F7B62" w:rsidRDefault="005F7B62" w:rsidP="007B4E2B">
      <w:pPr>
        <w:pStyle w:val="NoSpacing"/>
        <w:spacing w:line="480" w:lineRule="auto"/>
        <w:jc w:val="both"/>
        <w:rPr>
          <w:rFonts w:ascii="Verdana" w:hAnsi="Verdana"/>
        </w:rPr>
      </w:pPr>
    </w:p>
    <w:p w14:paraId="113953BC" w14:textId="77777777" w:rsidR="005F7B62" w:rsidRDefault="005F7B62" w:rsidP="007B4E2B">
      <w:pPr>
        <w:pStyle w:val="NoSpacing"/>
        <w:spacing w:line="480" w:lineRule="auto"/>
        <w:jc w:val="both"/>
        <w:rPr>
          <w:rFonts w:ascii="Verdana" w:hAnsi="Verdana"/>
        </w:rPr>
      </w:pPr>
    </w:p>
    <w:p w14:paraId="5F4E0B31" w14:textId="77777777" w:rsidR="005F7B62" w:rsidRDefault="005F7B62" w:rsidP="007B4E2B">
      <w:pPr>
        <w:pStyle w:val="NoSpacing"/>
        <w:spacing w:line="480" w:lineRule="auto"/>
        <w:jc w:val="both"/>
        <w:rPr>
          <w:rFonts w:ascii="Verdana" w:hAnsi="Verdana"/>
          <w:b/>
        </w:rPr>
        <w:sectPr w:rsidR="005F7B62">
          <w:pgSz w:w="11906" w:h="16838"/>
          <w:pgMar w:top="1440" w:right="1440" w:bottom="1440" w:left="1440" w:header="708" w:footer="708" w:gutter="0"/>
          <w:cols w:space="708"/>
          <w:docGrid w:linePitch="360"/>
        </w:sectPr>
      </w:pPr>
    </w:p>
    <w:p w14:paraId="501043F8" w14:textId="77777777" w:rsidR="005F7B62" w:rsidRPr="00AC5946" w:rsidRDefault="005F7B62" w:rsidP="007B4E2B">
      <w:pPr>
        <w:pStyle w:val="NoSpacing"/>
        <w:spacing w:line="480" w:lineRule="auto"/>
        <w:jc w:val="both"/>
        <w:rPr>
          <w:rFonts w:ascii="Verdana" w:hAnsi="Verdana"/>
          <w:b/>
        </w:rPr>
      </w:pPr>
      <w:r>
        <w:rPr>
          <w:rFonts w:ascii="Verdana" w:hAnsi="Verdana"/>
          <w:b/>
        </w:rPr>
        <w:lastRenderedPageBreak/>
        <w:t>Background</w:t>
      </w:r>
    </w:p>
    <w:p w14:paraId="1B0C73E3" w14:textId="77777777" w:rsidR="005F7B62" w:rsidRDefault="005F7B62" w:rsidP="007B4E2B">
      <w:pPr>
        <w:pStyle w:val="NoSpacing"/>
        <w:spacing w:line="480" w:lineRule="auto"/>
        <w:jc w:val="both"/>
        <w:rPr>
          <w:rFonts w:ascii="Verdana" w:hAnsi="Verdana"/>
        </w:rPr>
      </w:pPr>
    </w:p>
    <w:p w14:paraId="47C6896E" w14:textId="77777777" w:rsidR="005F7B62" w:rsidRDefault="005F7B62" w:rsidP="007B4E2B">
      <w:pPr>
        <w:pStyle w:val="NoSpacing"/>
        <w:spacing w:line="480" w:lineRule="auto"/>
        <w:jc w:val="both"/>
        <w:rPr>
          <w:rFonts w:ascii="Verdana" w:hAnsi="Verdana"/>
        </w:rPr>
      </w:pPr>
      <w:r>
        <w:rPr>
          <w:rFonts w:ascii="Verdana" w:hAnsi="Verdana"/>
        </w:rPr>
        <w:t>Maternal s</w:t>
      </w:r>
      <w:r w:rsidRPr="00F31875">
        <w:rPr>
          <w:rFonts w:ascii="Verdana" w:hAnsi="Verdana"/>
        </w:rPr>
        <w:t xml:space="preserve">moking </w:t>
      </w:r>
      <w:r>
        <w:rPr>
          <w:rFonts w:ascii="Verdana" w:hAnsi="Verdana"/>
        </w:rPr>
        <w:t>during</w:t>
      </w:r>
      <w:r w:rsidRPr="00F31875">
        <w:rPr>
          <w:rFonts w:ascii="Verdana" w:hAnsi="Verdana"/>
        </w:rPr>
        <w:t xml:space="preserve"> pregnancy </w:t>
      </w:r>
      <w:r>
        <w:rPr>
          <w:rFonts w:ascii="Verdana" w:hAnsi="Verdana"/>
        </w:rPr>
        <w:t xml:space="preserve">causes significant adverse health outcomes for babies in-utero, during the neonatal period and </w:t>
      </w:r>
      <w:proofErr w:type="gramStart"/>
      <w:r>
        <w:rPr>
          <w:rFonts w:ascii="Verdana" w:hAnsi="Verdana"/>
        </w:rPr>
        <w:t>beyond</w:t>
      </w:r>
      <w:r>
        <w:rPr>
          <w:rFonts w:ascii="Verdana" w:hAnsi="Verdana"/>
          <w:noProof/>
        </w:rPr>
        <w:t>[</w:t>
      </w:r>
      <w:proofErr w:type="gramEnd"/>
      <w:r>
        <w:rPr>
          <w:rFonts w:ascii="Verdana" w:hAnsi="Verdana"/>
          <w:noProof/>
        </w:rPr>
        <w:t>1]</w:t>
      </w:r>
      <w:r>
        <w:rPr>
          <w:rFonts w:ascii="Verdana" w:hAnsi="Verdana"/>
        </w:rPr>
        <w:t>. However, data available to quantify smoking prevalence during pregnancy in England are of variable extent and quality. Hospital midwives collect data on women’s smoking status at the time of delivery (</w:t>
      </w:r>
      <w:proofErr w:type="gramStart"/>
      <w:r>
        <w:rPr>
          <w:rFonts w:ascii="Verdana" w:hAnsi="Verdana"/>
        </w:rPr>
        <w:t>SATOD</w:t>
      </w:r>
      <w:r>
        <w:rPr>
          <w:rFonts w:ascii="Verdana" w:hAnsi="Verdana"/>
          <w:noProof/>
        </w:rPr>
        <w:t>[</w:t>
      </w:r>
      <w:proofErr w:type="gramEnd"/>
      <w:r>
        <w:rPr>
          <w:rFonts w:ascii="Verdana" w:hAnsi="Verdana"/>
          <w:noProof/>
        </w:rPr>
        <w:t>2</w:t>
      </w:r>
      <w:r w:rsidRPr="00905C02">
        <w:rPr>
          <w:rFonts w:ascii="Verdana" w:hAnsi="Verdana"/>
          <w:noProof/>
        </w:rPr>
        <w:t>]</w:t>
      </w:r>
      <w:r w:rsidRPr="00905C02">
        <w:rPr>
          <w:rFonts w:ascii="Verdana" w:hAnsi="Verdana"/>
        </w:rPr>
        <w:t>), which, in the absence of any other sources of routine data, are currently used as a standard. However, decisio</w:t>
      </w:r>
      <w:r>
        <w:rPr>
          <w:rFonts w:ascii="Verdana" w:hAnsi="Verdana"/>
        </w:rPr>
        <w:t>ns regarding how SATOD data are collected are made locally (and thus may vary geographically), large amounts of data are missing in some areas of the country (up to 10% for deliveries in one Primary Care Trust in 2012-13</w:t>
      </w:r>
      <w:r>
        <w:rPr>
          <w:rFonts w:ascii="Verdana" w:hAnsi="Verdana"/>
          <w:noProof/>
        </w:rPr>
        <w:t>[3]</w:t>
      </w:r>
      <w:r>
        <w:rPr>
          <w:rFonts w:ascii="Verdana" w:hAnsi="Verdana"/>
        </w:rPr>
        <w:t xml:space="preserve">) and questions have been raised about data </w:t>
      </w:r>
      <w:proofErr w:type="gramStart"/>
      <w:r>
        <w:rPr>
          <w:rFonts w:ascii="Verdana" w:hAnsi="Verdana"/>
        </w:rPr>
        <w:t>accuracy</w:t>
      </w:r>
      <w:r>
        <w:rPr>
          <w:rFonts w:ascii="Verdana" w:hAnsi="Verdana"/>
          <w:noProof/>
        </w:rPr>
        <w:t>[</w:t>
      </w:r>
      <w:proofErr w:type="gramEnd"/>
      <w:r>
        <w:rPr>
          <w:rFonts w:ascii="Verdana" w:hAnsi="Verdana"/>
          <w:noProof/>
        </w:rPr>
        <w:t>4]</w:t>
      </w:r>
      <w:hyperlink w:anchor="_ENREF_3" w:tooltip="NHS Blackpool, 2012 #1232" w:history="1"/>
      <w:r>
        <w:rPr>
          <w:rFonts w:ascii="Verdana" w:hAnsi="Verdana"/>
        </w:rPr>
        <w:t xml:space="preserve">. For example, some midwives report finding it difficult to discuss smoking with women at delivery, and some maternity service providers do not prioritise this item of data </w:t>
      </w:r>
      <w:proofErr w:type="gramStart"/>
      <w:r>
        <w:rPr>
          <w:rFonts w:ascii="Verdana" w:hAnsi="Verdana"/>
        </w:rPr>
        <w:t>collection</w:t>
      </w:r>
      <w:r>
        <w:rPr>
          <w:rFonts w:ascii="Verdana" w:hAnsi="Verdana"/>
          <w:noProof/>
        </w:rPr>
        <w:t>[</w:t>
      </w:r>
      <w:proofErr w:type="gramEnd"/>
      <w:r>
        <w:rPr>
          <w:rFonts w:ascii="Verdana" w:hAnsi="Verdana"/>
          <w:noProof/>
        </w:rPr>
        <w:t>4]</w:t>
      </w:r>
      <w:r>
        <w:rPr>
          <w:rFonts w:ascii="Verdana" w:hAnsi="Verdana"/>
        </w:rPr>
        <w:t>.</w:t>
      </w:r>
    </w:p>
    <w:p w14:paraId="2693231E" w14:textId="77777777" w:rsidR="005F7B62" w:rsidRDefault="005F7B62" w:rsidP="007B4E2B">
      <w:pPr>
        <w:pStyle w:val="NoSpacing"/>
        <w:spacing w:line="480" w:lineRule="auto"/>
        <w:jc w:val="both"/>
        <w:rPr>
          <w:rFonts w:ascii="Verdana" w:hAnsi="Verdana"/>
        </w:rPr>
      </w:pPr>
    </w:p>
    <w:p w14:paraId="75B70DC9" w14:textId="77777777" w:rsidR="005F7B62" w:rsidRDefault="005F7B62" w:rsidP="007B4E2B">
      <w:pPr>
        <w:pStyle w:val="NoSpacing"/>
        <w:spacing w:line="480" w:lineRule="auto"/>
        <w:jc w:val="both"/>
        <w:rPr>
          <w:rFonts w:ascii="Verdana" w:hAnsi="Verdana"/>
        </w:rPr>
      </w:pPr>
      <w:r>
        <w:rPr>
          <w:rFonts w:ascii="Verdana" w:hAnsi="Verdana"/>
        </w:rPr>
        <w:t xml:space="preserve">New information standards have recently been introduced requiring </w:t>
      </w:r>
      <w:r w:rsidRPr="00D84B86">
        <w:rPr>
          <w:rFonts w:ascii="Verdana" w:hAnsi="Verdana"/>
        </w:rPr>
        <w:t>all N</w:t>
      </w:r>
      <w:r>
        <w:rPr>
          <w:rFonts w:ascii="Verdana" w:hAnsi="Verdana"/>
        </w:rPr>
        <w:t xml:space="preserve">ational </w:t>
      </w:r>
      <w:r w:rsidRPr="00D84B86">
        <w:rPr>
          <w:rFonts w:ascii="Verdana" w:hAnsi="Verdana"/>
        </w:rPr>
        <w:t>H</w:t>
      </w:r>
      <w:r>
        <w:rPr>
          <w:rFonts w:ascii="Verdana" w:hAnsi="Verdana"/>
        </w:rPr>
        <w:t xml:space="preserve">ealth </w:t>
      </w:r>
      <w:r w:rsidRPr="00D84B86">
        <w:rPr>
          <w:rFonts w:ascii="Verdana" w:hAnsi="Verdana"/>
        </w:rPr>
        <w:t>S</w:t>
      </w:r>
      <w:r>
        <w:rPr>
          <w:rFonts w:ascii="Verdana" w:hAnsi="Verdana"/>
        </w:rPr>
        <w:t xml:space="preserve">ervice (NHS) </w:t>
      </w:r>
      <w:r w:rsidRPr="00D84B86">
        <w:rPr>
          <w:rFonts w:ascii="Verdana" w:hAnsi="Verdana"/>
        </w:rPr>
        <w:t>maternity services in England to routinely collect self-reported information on smoking status and daily cigarette consumption from pregnant women atten</w:t>
      </w:r>
      <w:r>
        <w:rPr>
          <w:rFonts w:ascii="Verdana" w:hAnsi="Verdana"/>
        </w:rPr>
        <w:t>ding their booking appointment (at approximately 8-12 weeks’ gestation)</w:t>
      </w:r>
      <w:r>
        <w:rPr>
          <w:rFonts w:ascii="Verdana" w:hAnsi="Verdana"/>
          <w:noProof/>
        </w:rPr>
        <w:t>[5]</w:t>
      </w:r>
      <w:r>
        <w:rPr>
          <w:rFonts w:ascii="Verdana" w:hAnsi="Verdana"/>
        </w:rPr>
        <w:t xml:space="preserve">; however, it will be some time before the quality of these data is known. Nationally, no data on smoking are collected routinely throughout pregnancy. Survey data are available from the Infant Feeding Survey (IFS) which asks women, albeit retrospectively, about smoking at various points in their pregnancy. However, the IFS is only conducted </w:t>
      </w:r>
      <w:proofErr w:type="spellStart"/>
      <w:r>
        <w:rPr>
          <w:rFonts w:ascii="Verdana" w:hAnsi="Verdana"/>
        </w:rPr>
        <w:t>quinquennially</w:t>
      </w:r>
      <w:proofErr w:type="spellEnd"/>
      <w:r>
        <w:rPr>
          <w:rFonts w:ascii="Verdana" w:hAnsi="Verdana"/>
        </w:rPr>
        <w:t xml:space="preserve">, is based on a small sample of births (a target sample size of 5,000 mothers to complete all </w:t>
      </w:r>
      <w:r>
        <w:rPr>
          <w:rFonts w:ascii="Verdana" w:hAnsi="Verdana"/>
        </w:rPr>
        <w:lastRenderedPageBreak/>
        <w:t xml:space="preserve">three follow-up </w:t>
      </w:r>
      <w:proofErr w:type="gramStart"/>
      <w:r>
        <w:rPr>
          <w:rFonts w:ascii="Verdana" w:hAnsi="Verdana"/>
        </w:rPr>
        <w:t>surveys</w:t>
      </w:r>
      <w:r>
        <w:rPr>
          <w:rFonts w:ascii="Verdana" w:hAnsi="Verdana"/>
          <w:noProof/>
        </w:rPr>
        <w:t>[</w:t>
      </w:r>
      <w:proofErr w:type="gramEnd"/>
      <w:r>
        <w:rPr>
          <w:rFonts w:ascii="Verdana" w:hAnsi="Verdana"/>
          <w:noProof/>
        </w:rPr>
        <w:t>6]</w:t>
      </w:r>
      <w:r>
        <w:rPr>
          <w:rFonts w:ascii="Verdana" w:hAnsi="Verdana"/>
        </w:rPr>
        <w:t xml:space="preserve">) and cannot give direct estimates of smoking prevalence for small geographical areas.   </w:t>
      </w:r>
    </w:p>
    <w:p w14:paraId="0A98DAB3" w14:textId="77777777" w:rsidR="005F7B62" w:rsidRDefault="005F7B62" w:rsidP="007B4E2B">
      <w:pPr>
        <w:pStyle w:val="NoSpacing"/>
        <w:spacing w:line="480" w:lineRule="auto"/>
        <w:jc w:val="both"/>
        <w:rPr>
          <w:rFonts w:ascii="Verdana" w:hAnsi="Verdana"/>
        </w:rPr>
      </w:pPr>
    </w:p>
    <w:p w14:paraId="250AB01D" w14:textId="77777777" w:rsidR="005F7B62" w:rsidRDefault="005F7B62" w:rsidP="007B4E2B">
      <w:pPr>
        <w:pStyle w:val="NoSpacing"/>
        <w:spacing w:line="480" w:lineRule="auto"/>
        <w:jc w:val="both"/>
        <w:rPr>
          <w:rFonts w:ascii="Verdana" w:hAnsi="Verdana"/>
        </w:rPr>
      </w:pPr>
      <w:r>
        <w:rPr>
          <w:rFonts w:ascii="Verdana" w:hAnsi="Verdana"/>
        </w:rPr>
        <w:t xml:space="preserve">The availability of good quality data on smoking prevalence during pregnancy for small geographical areas, such as those based on health service geography, would be useful to help with planning services and monitoring the effectiveness of smoking prevention and cessation </w:t>
      </w:r>
      <w:proofErr w:type="gramStart"/>
      <w:r>
        <w:rPr>
          <w:rFonts w:ascii="Verdana" w:hAnsi="Verdana"/>
        </w:rPr>
        <w:t>interventions</w:t>
      </w:r>
      <w:r>
        <w:rPr>
          <w:rFonts w:ascii="Verdana" w:hAnsi="Verdana"/>
          <w:noProof/>
        </w:rPr>
        <w:t>[</w:t>
      </w:r>
      <w:proofErr w:type="gramEnd"/>
      <w:r>
        <w:rPr>
          <w:rFonts w:ascii="Verdana" w:hAnsi="Verdana"/>
          <w:noProof/>
        </w:rPr>
        <w:t>7]</w:t>
      </w:r>
      <w:r>
        <w:rPr>
          <w:rFonts w:ascii="Verdana" w:hAnsi="Verdana"/>
        </w:rPr>
        <w:t xml:space="preserve">. However, data for small areas are difficult to acquire – surveys are time-consuming and costly, likely prohibitively so, as many pregnant women would need to be sampled in each small area in order to give precise estimates of smoking behaviour. Previously, synthetic estimation techniques have been used to predict the expected prevalence of various health behaviours and indicators for small geographical areas in England, including general adult smoking </w:t>
      </w:r>
      <w:proofErr w:type="gramStart"/>
      <w:r>
        <w:rPr>
          <w:rFonts w:ascii="Verdana" w:hAnsi="Verdana"/>
        </w:rPr>
        <w:t>prevalence</w:t>
      </w:r>
      <w:r>
        <w:rPr>
          <w:rFonts w:ascii="Verdana" w:hAnsi="Verdana"/>
          <w:noProof/>
        </w:rPr>
        <w:t>[</w:t>
      </w:r>
      <w:proofErr w:type="gramEnd"/>
      <w:r>
        <w:rPr>
          <w:rFonts w:ascii="Verdana" w:hAnsi="Verdana"/>
          <w:noProof/>
        </w:rPr>
        <w:t>8]</w:t>
      </w:r>
      <w:r>
        <w:rPr>
          <w:rFonts w:ascii="Verdana" w:hAnsi="Verdana"/>
        </w:rPr>
        <w:t>, excess alcohol intake</w:t>
      </w:r>
      <w:r>
        <w:rPr>
          <w:rFonts w:ascii="Verdana" w:hAnsi="Verdana"/>
          <w:noProof/>
        </w:rPr>
        <w:t>[9]</w:t>
      </w:r>
      <w:r>
        <w:rPr>
          <w:rFonts w:ascii="Verdana" w:hAnsi="Verdana"/>
        </w:rPr>
        <w:t>, obesity</w:t>
      </w:r>
      <w:r>
        <w:rPr>
          <w:rFonts w:ascii="Verdana" w:hAnsi="Verdana"/>
          <w:noProof/>
        </w:rPr>
        <w:t>[10]</w:t>
      </w:r>
      <w:r>
        <w:rPr>
          <w:rFonts w:ascii="Verdana" w:hAnsi="Verdana"/>
        </w:rPr>
        <w:t xml:space="preserve"> and diabetes</w:t>
      </w:r>
      <w:r>
        <w:rPr>
          <w:rFonts w:ascii="Verdana" w:hAnsi="Verdana"/>
          <w:noProof/>
        </w:rPr>
        <w:t>[11]</w:t>
      </w:r>
      <w:r>
        <w:rPr>
          <w:rFonts w:ascii="Verdana" w:hAnsi="Verdana"/>
        </w:rPr>
        <w:t xml:space="preserve">. These model-based estimates have been shown to be </w:t>
      </w:r>
      <w:proofErr w:type="gramStart"/>
      <w:r>
        <w:rPr>
          <w:rFonts w:ascii="Verdana" w:hAnsi="Verdana"/>
        </w:rPr>
        <w:t>valid</w:t>
      </w:r>
      <w:r>
        <w:rPr>
          <w:rFonts w:ascii="Verdana" w:hAnsi="Verdana"/>
          <w:noProof/>
        </w:rPr>
        <w:t>[</w:t>
      </w:r>
      <w:proofErr w:type="gramEnd"/>
      <w:r>
        <w:rPr>
          <w:rFonts w:ascii="Verdana" w:hAnsi="Verdana"/>
          <w:noProof/>
        </w:rPr>
        <w:t>12]</w:t>
      </w:r>
      <w:r>
        <w:rPr>
          <w:rFonts w:ascii="Verdana" w:hAnsi="Verdana"/>
        </w:rPr>
        <w:t>.</w:t>
      </w:r>
    </w:p>
    <w:p w14:paraId="26130D06" w14:textId="77777777" w:rsidR="005F7B62" w:rsidRDefault="005F7B62" w:rsidP="007B4E2B">
      <w:pPr>
        <w:pStyle w:val="NoSpacing"/>
        <w:spacing w:line="480" w:lineRule="auto"/>
        <w:jc w:val="both"/>
        <w:rPr>
          <w:rFonts w:ascii="Verdana" w:hAnsi="Verdana"/>
        </w:rPr>
      </w:pPr>
    </w:p>
    <w:p w14:paraId="43E75368" w14:textId="77777777" w:rsidR="005F7B62" w:rsidRPr="00E839C9" w:rsidRDefault="005F7B62" w:rsidP="007B4E2B">
      <w:pPr>
        <w:pStyle w:val="NoSpacing"/>
        <w:spacing w:line="480" w:lineRule="auto"/>
        <w:jc w:val="both"/>
        <w:rPr>
          <w:rFonts w:ascii="Verdana" w:hAnsi="Verdana"/>
        </w:rPr>
      </w:pPr>
      <w:r>
        <w:rPr>
          <w:rFonts w:ascii="Verdana" w:hAnsi="Verdana"/>
        </w:rPr>
        <w:t>Here we use synthetic estimation</w:t>
      </w:r>
      <w:r w:rsidRPr="00E839C9">
        <w:rPr>
          <w:rFonts w:ascii="Verdana" w:hAnsi="Verdana"/>
        </w:rPr>
        <w:t xml:space="preserve"> to predict </w:t>
      </w:r>
      <w:r>
        <w:rPr>
          <w:rFonts w:ascii="Verdana" w:hAnsi="Verdana"/>
        </w:rPr>
        <w:t xml:space="preserve">maternal </w:t>
      </w:r>
      <w:r w:rsidRPr="00E839C9">
        <w:rPr>
          <w:rFonts w:ascii="Verdana" w:hAnsi="Verdana"/>
        </w:rPr>
        <w:t>smoking prevalence</w:t>
      </w:r>
      <w:r>
        <w:rPr>
          <w:rFonts w:ascii="Verdana" w:hAnsi="Verdana"/>
        </w:rPr>
        <w:t xml:space="preserve"> at delivery as well as at any point during pregnancy for small health areas in England, </w:t>
      </w:r>
      <w:r w:rsidRPr="00E839C9">
        <w:rPr>
          <w:rFonts w:ascii="Verdana" w:hAnsi="Verdana"/>
        </w:rPr>
        <w:t xml:space="preserve">and compare </w:t>
      </w:r>
      <w:r>
        <w:rPr>
          <w:rFonts w:ascii="Verdana" w:hAnsi="Verdana"/>
        </w:rPr>
        <w:t>the former to</w:t>
      </w:r>
      <w:r w:rsidRPr="00E839C9">
        <w:rPr>
          <w:rFonts w:ascii="Verdana" w:hAnsi="Verdana"/>
        </w:rPr>
        <w:t xml:space="preserve"> SATOD data.</w:t>
      </w:r>
    </w:p>
    <w:p w14:paraId="1C77876A" w14:textId="77777777" w:rsidR="005F7B62" w:rsidRDefault="005F7B62" w:rsidP="007B4E2B">
      <w:pPr>
        <w:pStyle w:val="NoSpacing"/>
        <w:spacing w:line="480" w:lineRule="auto"/>
        <w:jc w:val="both"/>
        <w:rPr>
          <w:rFonts w:ascii="Verdana" w:hAnsi="Verdana"/>
        </w:rPr>
      </w:pPr>
    </w:p>
    <w:p w14:paraId="30929DB0" w14:textId="77777777" w:rsidR="005F7B62" w:rsidRDefault="005F7B62" w:rsidP="007B4E2B">
      <w:pPr>
        <w:pStyle w:val="NoSpacing"/>
        <w:spacing w:line="480" w:lineRule="auto"/>
        <w:jc w:val="both"/>
        <w:rPr>
          <w:rFonts w:ascii="Verdana" w:hAnsi="Verdana"/>
        </w:rPr>
      </w:pPr>
    </w:p>
    <w:p w14:paraId="03B83AEA" w14:textId="77777777" w:rsidR="005F7B62" w:rsidRPr="00D971B7" w:rsidRDefault="005F7B62" w:rsidP="007B4E2B">
      <w:pPr>
        <w:pStyle w:val="NoSpacing"/>
        <w:spacing w:line="480" w:lineRule="auto"/>
        <w:jc w:val="both"/>
        <w:rPr>
          <w:rFonts w:ascii="Verdana" w:hAnsi="Verdana"/>
          <w:b/>
        </w:rPr>
      </w:pPr>
      <w:r w:rsidRPr="00D971B7">
        <w:rPr>
          <w:rFonts w:ascii="Verdana" w:hAnsi="Verdana"/>
          <w:b/>
        </w:rPr>
        <w:t>Methods</w:t>
      </w:r>
    </w:p>
    <w:p w14:paraId="4DB8CB8B" w14:textId="77777777" w:rsidR="005F7B62" w:rsidRDefault="005F7B62" w:rsidP="007B4E2B">
      <w:pPr>
        <w:pStyle w:val="NoSpacing"/>
        <w:spacing w:line="480" w:lineRule="auto"/>
        <w:jc w:val="both"/>
        <w:rPr>
          <w:rFonts w:ascii="Verdana" w:hAnsi="Verdana"/>
        </w:rPr>
      </w:pPr>
    </w:p>
    <w:p w14:paraId="4565779A" w14:textId="77777777" w:rsidR="005F7B62" w:rsidRPr="00CE4997" w:rsidRDefault="005F7B62" w:rsidP="007B4E2B">
      <w:pPr>
        <w:pStyle w:val="NoSpacing"/>
        <w:spacing w:line="480" w:lineRule="auto"/>
        <w:jc w:val="both"/>
        <w:rPr>
          <w:rFonts w:ascii="Verdana" w:hAnsi="Verdana"/>
          <w:i/>
        </w:rPr>
      </w:pPr>
      <w:r>
        <w:rPr>
          <w:rFonts w:ascii="Verdana" w:hAnsi="Verdana"/>
          <w:i/>
        </w:rPr>
        <w:t>Stage 1: P</w:t>
      </w:r>
      <w:r w:rsidRPr="00CE4997">
        <w:rPr>
          <w:rFonts w:ascii="Verdana" w:hAnsi="Verdana"/>
          <w:i/>
        </w:rPr>
        <w:t>redict</w:t>
      </w:r>
      <w:r>
        <w:rPr>
          <w:rFonts w:ascii="Verdana" w:hAnsi="Verdana"/>
          <w:i/>
        </w:rPr>
        <w:t>ing</w:t>
      </w:r>
      <w:r w:rsidRPr="00CE4997">
        <w:rPr>
          <w:rFonts w:ascii="Verdana" w:hAnsi="Verdana"/>
          <w:i/>
        </w:rPr>
        <w:t xml:space="preserve"> the probability of </w:t>
      </w:r>
      <w:r>
        <w:rPr>
          <w:rFonts w:ascii="Verdana" w:hAnsi="Verdana"/>
          <w:i/>
        </w:rPr>
        <w:t xml:space="preserve">maternal </w:t>
      </w:r>
      <w:r w:rsidRPr="00CE4997">
        <w:rPr>
          <w:rFonts w:ascii="Verdana" w:hAnsi="Verdana"/>
          <w:i/>
        </w:rPr>
        <w:t>smoking</w:t>
      </w:r>
      <w:r>
        <w:rPr>
          <w:rFonts w:ascii="Verdana" w:hAnsi="Verdana"/>
          <w:i/>
        </w:rPr>
        <w:t xml:space="preserve"> in pregnancy and at delivery </w:t>
      </w:r>
    </w:p>
    <w:p w14:paraId="60AA1C32" w14:textId="77777777" w:rsidR="005F7B62" w:rsidRDefault="005F7B62" w:rsidP="007B4E2B">
      <w:pPr>
        <w:pStyle w:val="NoSpacing"/>
        <w:spacing w:line="480" w:lineRule="auto"/>
        <w:jc w:val="both"/>
        <w:rPr>
          <w:rFonts w:ascii="Verdana" w:hAnsi="Verdana"/>
        </w:rPr>
      </w:pPr>
    </w:p>
    <w:p w14:paraId="79088E6A" w14:textId="227FF88D" w:rsidR="005F7B62" w:rsidRDefault="005F7B62" w:rsidP="007B4E2B">
      <w:pPr>
        <w:pStyle w:val="NoSpacing"/>
        <w:spacing w:line="480" w:lineRule="auto"/>
        <w:jc w:val="both"/>
        <w:rPr>
          <w:rFonts w:ascii="Verdana" w:hAnsi="Verdana"/>
        </w:rPr>
      </w:pPr>
      <w:r>
        <w:rPr>
          <w:rFonts w:ascii="Verdana" w:hAnsi="Verdana"/>
        </w:rPr>
        <w:lastRenderedPageBreak/>
        <w:t xml:space="preserve">We used data from mothers in England who completed Stage 1 (at 4-10 weeks post-delivery) of the 2010 IFS. Using self-reported information on smoking status we created two binary variables to </w:t>
      </w:r>
      <w:r w:rsidRPr="00905C02">
        <w:rPr>
          <w:rFonts w:ascii="Verdana" w:hAnsi="Verdana"/>
        </w:rPr>
        <w:t>identify whether women smoked at any point during their pregnancy, including between conception and confirmation of pregnancy, and whether they were smoking at delivery</w:t>
      </w:r>
      <w:r w:rsidR="00A2770D" w:rsidRPr="00905C02">
        <w:rPr>
          <w:rFonts w:ascii="Verdana" w:hAnsi="Verdana"/>
        </w:rPr>
        <w:t xml:space="preserve"> (see Additional File 1 for details of the survey questions asked)</w:t>
      </w:r>
      <w:r w:rsidRPr="00905C02">
        <w:rPr>
          <w:rFonts w:ascii="Verdana" w:hAnsi="Verdana"/>
        </w:rPr>
        <w:t>. We identified the age group of each woman (16-19, 20-24, 25-29, 30+ years) and the Index</w:t>
      </w:r>
      <w:r>
        <w:rPr>
          <w:rFonts w:ascii="Verdana" w:hAnsi="Verdana"/>
        </w:rPr>
        <w:t xml:space="preserve"> of Multiple Deprivation (IMD) quintile of the Lower Super Output Area (LSOA, of which there are 32,482 in England) of her home address. At the time of the 2010 IFS survey, 151 Primary Care Trusts (PCTs) were responsible for commissioning community, primary and secondary healthcare services</w:t>
      </w:r>
      <w:r w:rsidRPr="005E6D27">
        <w:rPr>
          <w:rFonts w:ascii="Verdana" w:hAnsi="Verdana"/>
        </w:rPr>
        <w:t xml:space="preserve"> </w:t>
      </w:r>
      <w:r>
        <w:rPr>
          <w:rFonts w:ascii="Verdana" w:hAnsi="Verdana"/>
        </w:rPr>
        <w:t xml:space="preserve">in England, including the provision of National Health Service Stop Smoking Services (NHS SSS) and specialist Stop Smoking Services for Pregnancy (SSSP). IFS respondents’ PCTs </w:t>
      </w:r>
      <w:r w:rsidRPr="00A01DE9">
        <w:rPr>
          <w:rFonts w:ascii="Verdana" w:hAnsi="Verdana"/>
        </w:rPr>
        <w:t>of residence</w:t>
      </w:r>
      <w:r>
        <w:rPr>
          <w:rFonts w:ascii="Verdana" w:hAnsi="Verdana"/>
        </w:rPr>
        <w:t>, not routinely released with the IFS dataset, were provided by the NHS Health and Social Care Information Centre. Women were dropped from the analysis if one or more of their smoking status, age, IMD quintile or PCT of residence were missing.</w:t>
      </w:r>
    </w:p>
    <w:p w14:paraId="584C7A0F" w14:textId="77777777" w:rsidR="005F7B62" w:rsidRDefault="005F7B62" w:rsidP="007B4E2B">
      <w:pPr>
        <w:pStyle w:val="NoSpacing"/>
        <w:spacing w:line="480" w:lineRule="auto"/>
        <w:jc w:val="both"/>
        <w:rPr>
          <w:rFonts w:ascii="Verdana" w:hAnsi="Verdana"/>
        </w:rPr>
      </w:pPr>
    </w:p>
    <w:p w14:paraId="08F36D8A" w14:textId="77777777" w:rsidR="005F7B62" w:rsidRDefault="005F7B62" w:rsidP="007B4E2B">
      <w:pPr>
        <w:pStyle w:val="NoSpacing"/>
        <w:spacing w:line="480" w:lineRule="auto"/>
        <w:jc w:val="both"/>
        <w:rPr>
          <w:rFonts w:ascii="Verdana" w:hAnsi="Verdana"/>
        </w:rPr>
      </w:pPr>
      <w:r>
        <w:rPr>
          <w:rFonts w:ascii="Verdana" w:hAnsi="Verdana"/>
        </w:rPr>
        <w:t xml:space="preserve">As smoking behaviours are strongly associated with </w:t>
      </w:r>
      <w:proofErr w:type="gramStart"/>
      <w:r>
        <w:rPr>
          <w:rFonts w:ascii="Verdana" w:hAnsi="Verdana"/>
        </w:rPr>
        <w:t>ethnicity</w:t>
      </w:r>
      <w:r>
        <w:rPr>
          <w:rFonts w:ascii="Verdana" w:hAnsi="Verdana"/>
          <w:noProof/>
        </w:rPr>
        <w:t>[</w:t>
      </w:r>
      <w:proofErr w:type="gramEnd"/>
      <w:r>
        <w:rPr>
          <w:rFonts w:ascii="Verdana" w:hAnsi="Verdana"/>
          <w:noProof/>
        </w:rPr>
        <w:t>13]</w:t>
      </w:r>
      <w:r>
        <w:rPr>
          <w:rFonts w:ascii="Verdana" w:hAnsi="Verdana"/>
        </w:rPr>
        <w:t xml:space="preserve">, we </w:t>
      </w:r>
      <w:r w:rsidRPr="00421276">
        <w:rPr>
          <w:rFonts w:ascii="Verdana" w:hAnsi="Verdana"/>
        </w:rPr>
        <w:t xml:space="preserve">used </w:t>
      </w:r>
      <w:r>
        <w:rPr>
          <w:rFonts w:ascii="Verdana" w:hAnsi="Verdana"/>
        </w:rPr>
        <w:t xml:space="preserve">data from the </w:t>
      </w:r>
      <w:r w:rsidRPr="00421276">
        <w:rPr>
          <w:rFonts w:ascii="Verdana" w:hAnsi="Verdana"/>
        </w:rPr>
        <w:t xml:space="preserve">2011 </w:t>
      </w:r>
      <w:r>
        <w:rPr>
          <w:rFonts w:ascii="Verdana" w:hAnsi="Verdana"/>
        </w:rPr>
        <w:t>Census</w:t>
      </w:r>
      <w:r>
        <w:rPr>
          <w:rFonts w:ascii="Verdana" w:hAnsi="Verdana"/>
          <w:noProof/>
        </w:rPr>
        <w:t>[14]</w:t>
      </w:r>
      <w:r>
        <w:rPr>
          <w:rFonts w:ascii="Verdana" w:hAnsi="Verdana"/>
        </w:rPr>
        <w:t xml:space="preserve"> </w:t>
      </w:r>
      <w:r w:rsidRPr="00421276">
        <w:rPr>
          <w:rFonts w:ascii="Verdana" w:hAnsi="Verdana"/>
        </w:rPr>
        <w:t xml:space="preserve">to derive an area-level variable indicating the </w:t>
      </w:r>
      <w:r>
        <w:rPr>
          <w:rFonts w:ascii="Verdana" w:hAnsi="Verdana"/>
        </w:rPr>
        <w:t>percentage</w:t>
      </w:r>
      <w:r w:rsidRPr="00421276">
        <w:rPr>
          <w:rFonts w:ascii="Verdana" w:hAnsi="Verdana"/>
        </w:rPr>
        <w:t xml:space="preserve"> of women in each PCT who were not of </w:t>
      </w:r>
      <w:r>
        <w:rPr>
          <w:rFonts w:ascii="Verdana" w:hAnsi="Verdana"/>
        </w:rPr>
        <w:t xml:space="preserve">white or mixed ethnicity. The reason for using this categorisation was that </w:t>
      </w:r>
      <w:r w:rsidRPr="00474B43">
        <w:rPr>
          <w:rFonts w:ascii="Verdana" w:hAnsi="Verdana"/>
        </w:rPr>
        <w:t xml:space="preserve">examination of </w:t>
      </w:r>
      <w:r>
        <w:rPr>
          <w:rFonts w:ascii="Verdana" w:hAnsi="Verdana"/>
        </w:rPr>
        <w:t>IFS data</w:t>
      </w:r>
      <w:r w:rsidRPr="00474B43">
        <w:rPr>
          <w:rFonts w:ascii="Verdana" w:hAnsi="Verdana"/>
        </w:rPr>
        <w:t xml:space="preserve"> suggested that the prevalence of smoking in pregnancy was similar in women of white and mixed ethnicity, and lower amongst women of Asian or Asian British, Black or Black British and Chinese or other ethnicities.</w:t>
      </w:r>
      <w:r>
        <w:rPr>
          <w:rFonts w:ascii="Verdana" w:hAnsi="Verdana"/>
        </w:rPr>
        <w:t xml:space="preserve"> This variable was </w:t>
      </w:r>
      <w:proofErr w:type="spellStart"/>
      <w:r>
        <w:rPr>
          <w:rFonts w:ascii="Verdana" w:hAnsi="Verdana"/>
        </w:rPr>
        <w:t>centered</w:t>
      </w:r>
      <w:proofErr w:type="spellEnd"/>
      <w:r>
        <w:rPr>
          <w:rFonts w:ascii="Verdana" w:hAnsi="Verdana"/>
        </w:rPr>
        <w:t xml:space="preserve"> i.e. the value for each PCT was subtracted from the mean. An area-level variable was </w:t>
      </w:r>
      <w:r>
        <w:rPr>
          <w:rFonts w:ascii="Verdana" w:hAnsi="Verdana"/>
        </w:rPr>
        <w:lastRenderedPageBreak/>
        <w:t xml:space="preserve">used because individual-level ethnicity was missing for a large number of women in our data (see </w:t>
      </w:r>
      <w:r w:rsidRPr="006C06C6">
        <w:rPr>
          <w:rFonts w:ascii="Verdana" w:hAnsi="Verdana"/>
          <w:i/>
        </w:rPr>
        <w:t>Sensitivity analysis</w:t>
      </w:r>
      <w:r>
        <w:rPr>
          <w:rFonts w:ascii="Verdana" w:hAnsi="Verdana"/>
        </w:rPr>
        <w:t xml:space="preserve">). </w:t>
      </w:r>
    </w:p>
    <w:p w14:paraId="7DBE03AC" w14:textId="77777777" w:rsidR="005F7B62" w:rsidRDefault="005F7B62" w:rsidP="007B4E2B">
      <w:pPr>
        <w:pStyle w:val="NoSpacing"/>
        <w:spacing w:line="480" w:lineRule="auto"/>
        <w:jc w:val="both"/>
        <w:rPr>
          <w:rFonts w:ascii="Verdana" w:hAnsi="Verdana"/>
        </w:rPr>
      </w:pPr>
    </w:p>
    <w:p w14:paraId="7D9FD4B1" w14:textId="77777777" w:rsidR="005F7B62" w:rsidRDefault="005F7B62" w:rsidP="007B4E2B">
      <w:pPr>
        <w:pStyle w:val="NoSpacing"/>
        <w:spacing w:line="480" w:lineRule="auto"/>
        <w:jc w:val="both"/>
        <w:rPr>
          <w:rFonts w:ascii="Verdana" w:hAnsi="Verdana"/>
        </w:rPr>
      </w:pPr>
      <w:r>
        <w:rPr>
          <w:rFonts w:ascii="Verdana" w:hAnsi="Verdana"/>
        </w:rPr>
        <w:t xml:space="preserve">With </w:t>
      </w:r>
      <w:proofErr w:type="spellStart"/>
      <w:r>
        <w:rPr>
          <w:rFonts w:ascii="Verdana" w:hAnsi="Verdana"/>
        </w:rPr>
        <w:t>MLwiN</w:t>
      </w:r>
      <w:proofErr w:type="spellEnd"/>
      <w:r>
        <w:rPr>
          <w:rFonts w:ascii="Verdana" w:hAnsi="Verdana"/>
        </w:rPr>
        <w:t xml:space="preserve"> version 2.30</w:t>
      </w:r>
      <w:r>
        <w:rPr>
          <w:rFonts w:ascii="Verdana" w:hAnsi="Verdana"/>
          <w:noProof/>
        </w:rPr>
        <w:t>[15]</w:t>
      </w:r>
      <w:r>
        <w:rPr>
          <w:rFonts w:ascii="Verdana" w:hAnsi="Verdana"/>
        </w:rPr>
        <w:t>, run from within Stata</w:t>
      </w:r>
      <w:r>
        <w:rPr>
          <w:rFonts w:ascii="Verdana" w:hAnsi="Verdana"/>
          <w:noProof/>
        </w:rPr>
        <w:t>[16]</w:t>
      </w:r>
      <w:r>
        <w:rPr>
          <w:rFonts w:ascii="Verdana" w:hAnsi="Verdana"/>
        </w:rPr>
        <w:t xml:space="preserve"> using the ‘</w:t>
      </w:r>
      <w:proofErr w:type="spellStart"/>
      <w:r>
        <w:rPr>
          <w:rFonts w:ascii="Verdana" w:hAnsi="Verdana"/>
        </w:rPr>
        <w:t>runmlwin</w:t>
      </w:r>
      <w:proofErr w:type="spellEnd"/>
      <w:r>
        <w:rPr>
          <w:rFonts w:ascii="Verdana" w:hAnsi="Verdana"/>
        </w:rPr>
        <w:t>’ command</w:t>
      </w:r>
      <w:r>
        <w:rPr>
          <w:rFonts w:ascii="Verdana" w:hAnsi="Verdana"/>
          <w:noProof/>
        </w:rPr>
        <w:t>[17]</w:t>
      </w:r>
      <w:r>
        <w:rPr>
          <w:rFonts w:ascii="Verdana" w:hAnsi="Verdana"/>
        </w:rPr>
        <w:t xml:space="preserve">, </w:t>
      </w:r>
      <w:r w:rsidRPr="00421276">
        <w:rPr>
          <w:rFonts w:ascii="Verdana" w:hAnsi="Verdana"/>
        </w:rPr>
        <w:t>we built two separate multilevel</w:t>
      </w:r>
      <w:r>
        <w:rPr>
          <w:rFonts w:ascii="Verdana" w:hAnsi="Verdana"/>
        </w:rPr>
        <w:t xml:space="preserve">, </w:t>
      </w:r>
      <w:r w:rsidRPr="00421276">
        <w:rPr>
          <w:rFonts w:ascii="Verdana" w:hAnsi="Verdana"/>
        </w:rPr>
        <w:t xml:space="preserve">multivariable logistic regression models to predict the </w:t>
      </w:r>
      <w:r>
        <w:rPr>
          <w:rFonts w:ascii="Verdana" w:hAnsi="Verdana"/>
        </w:rPr>
        <w:t>probabilities</w:t>
      </w:r>
      <w:r w:rsidRPr="00421276">
        <w:rPr>
          <w:rFonts w:ascii="Verdana" w:hAnsi="Verdana"/>
        </w:rPr>
        <w:t xml:space="preserve"> of a woman reporting smoking </w:t>
      </w:r>
      <w:r>
        <w:rPr>
          <w:rFonts w:ascii="Verdana" w:hAnsi="Verdana"/>
        </w:rPr>
        <w:t>at any point during pregnancy and at delivery</w:t>
      </w:r>
      <w:r w:rsidRPr="00421276">
        <w:rPr>
          <w:rFonts w:ascii="Verdana" w:hAnsi="Verdana"/>
        </w:rPr>
        <w:t>.</w:t>
      </w:r>
      <w:r>
        <w:rPr>
          <w:rFonts w:ascii="Verdana" w:hAnsi="Verdana"/>
        </w:rPr>
        <w:t xml:space="preserve"> Age group and IMD quintile, and the interaction between these, were included as individual-level predictor variables (though, as noted above, IMD quintile is not strictly an individual-level variable as it is based on the LSOA of residence) and the percentage of women not of white or mixed ethnicity as an area-level predictor.</w:t>
      </w:r>
      <w:r w:rsidRPr="00474B43">
        <w:rPr>
          <w:rFonts w:ascii="Verdana" w:hAnsi="Verdana"/>
        </w:rPr>
        <w:t xml:space="preserve"> </w:t>
      </w:r>
      <w:proofErr w:type="spellStart"/>
      <w:r>
        <w:rPr>
          <w:rFonts w:ascii="Verdana" w:hAnsi="Verdana"/>
        </w:rPr>
        <w:t>Centering</w:t>
      </w:r>
      <w:proofErr w:type="spellEnd"/>
      <w:r>
        <w:rPr>
          <w:rFonts w:ascii="Verdana" w:hAnsi="Verdana"/>
        </w:rPr>
        <w:t xml:space="preserve"> of the ethnicity variable means that the intercept term is interpreted as the expected smoking prevalence when the proportion of women not of white or mixed ethnicity is at its mean level and age group and IMD are at the baseline category of these variables. PCT was modelled as a random intercept. Parameters were only retained in the model if they were statistically significant (p&lt;0.05).</w:t>
      </w:r>
      <w:r w:rsidRPr="00421276">
        <w:rPr>
          <w:rFonts w:ascii="Verdana" w:hAnsi="Verdana"/>
        </w:rPr>
        <w:t xml:space="preserve"> </w:t>
      </w:r>
      <w:r>
        <w:rPr>
          <w:rFonts w:ascii="Verdana" w:hAnsi="Verdana"/>
        </w:rPr>
        <w:t xml:space="preserve">An Iterative Generalised Least Squares (IGLS) model was run initially to provide starting estimates for a final Markov Chain Monte Carlo (MCMC) </w:t>
      </w:r>
      <w:proofErr w:type="gramStart"/>
      <w:r>
        <w:rPr>
          <w:rFonts w:ascii="Verdana" w:hAnsi="Verdana"/>
        </w:rPr>
        <w:t>model</w:t>
      </w:r>
      <w:r>
        <w:rPr>
          <w:rFonts w:ascii="Verdana" w:hAnsi="Verdana"/>
          <w:noProof/>
        </w:rPr>
        <w:t>[</w:t>
      </w:r>
      <w:proofErr w:type="gramEnd"/>
      <w:r>
        <w:rPr>
          <w:rFonts w:ascii="Verdana" w:hAnsi="Verdana"/>
          <w:noProof/>
        </w:rPr>
        <w:t>18]</w:t>
      </w:r>
      <w:r>
        <w:rPr>
          <w:rFonts w:ascii="Verdana" w:hAnsi="Verdana"/>
        </w:rPr>
        <w:t xml:space="preserve"> with 50,000 burn-ins and one million simulations. The fit of the final MCMC models was assessed by examining the trajectories of the simulations, distribution of model parameter estimates and the Estimated Sample Size (ESS) for each parameter.</w:t>
      </w:r>
    </w:p>
    <w:p w14:paraId="77AF8A33" w14:textId="77777777" w:rsidR="005F7B62" w:rsidRDefault="005F7B62" w:rsidP="007B4E2B">
      <w:pPr>
        <w:pStyle w:val="NoSpacing"/>
        <w:spacing w:line="480" w:lineRule="auto"/>
        <w:jc w:val="both"/>
        <w:rPr>
          <w:rFonts w:ascii="Verdana" w:hAnsi="Verdana"/>
        </w:rPr>
      </w:pPr>
    </w:p>
    <w:p w14:paraId="2455C921" w14:textId="77777777" w:rsidR="005F7B62" w:rsidRPr="000E7762" w:rsidRDefault="005F7B62" w:rsidP="007B4E2B">
      <w:pPr>
        <w:pStyle w:val="NoSpacing"/>
        <w:spacing w:line="480" w:lineRule="auto"/>
        <w:jc w:val="both"/>
        <w:rPr>
          <w:rFonts w:ascii="Verdana" w:hAnsi="Verdana"/>
          <w:i/>
        </w:rPr>
      </w:pPr>
      <w:r>
        <w:rPr>
          <w:rFonts w:ascii="Verdana" w:hAnsi="Verdana"/>
          <w:i/>
        </w:rPr>
        <w:t xml:space="preserve">Stage 2: </w:t>
      </w:r>
      <w:r w:rsidRPr="000E7762">
        <w:rPr>
          <w:rFonts w:ascii="Verdana" w:hAnsi="Verdana"/>
          <w:i/>
        </w:rPr>
        <w:t xml:space="preserve">Estimating the number of smokers by PCT </w:t>
      </w:r>
    </w:p>
    <w:p w14:paraId="0A11C18C" w14:textId="77777777" w:rsidR="005F7B62" w:rsidRDefault="005F7B62" w:rsidP="007B4E2B">
      <w:pPr>
        <w:pStyle w:val="NoSpacing"/>
        <w:spacing w:line="480" w:lineRule="auto"/>
        <w:jc w:val="both"/>
        <w:rPr>
          <w:rFonts w:ascii="Verdana" w:hAnsi="Verdana"/>
        </w:rPr>
      </w:pPr>
    </w:p>
    <w:p w14:paraId="663AC111" w14:textId="77777777" w:rsidR="005F7B62" w:rsidRDefault="005F7B62" w:rsidP="007B4E2B">
      <w:pPr>
        <w:pStyle w:val="NoSpacing"/>
        <w:spacing w:line="480" w:lineRule="auto"/>
        <w:jc w:val="both"/>
        <w:rPr>
          <w:rFonts w:ascii="Verdana" w:hAnsi="Verdana"/>
        </w:rPr>
      </w:pPr>
      <w:r>
        <w:rPr>
          <w:rFonts w:ascii="Verdana" w:hAnsi="Verdana"/>
        </w:rPr>
        <w:t>Using data from 2010/11 Hospital Episode Statistics (HES)</w:t>
      </w:r>
      <w:r>
        <w:rPr>
          <w:rFonts w:ascii="Verdana" w:hAnsi="Verdana"/>
          <w:noProof/>
        </w:rPr>
        <w:t>[19]</w:t>
      </w:r>
      <w:r>
        <w:rPr>
          <w:rFonts w:ascii="Verdana" w:hAnsi="Verdana"/>
        </w:rPr>
        <w:t xml:space="preserve"> we identified all deliveries in NHS hospitals in England between 1</w:t>
      </w:r>
      <w:r w:rsidRPr="00C137D9">
        <w:rPr>
          <w:rFonts w:ascii="Verdana" w:hAnsi="Verdana"/>
          <w:vertAlign w:val="superscript"/>
        </w:rPr>
        <w:t>st</w:t>
      </w:r>
      <w:r>
        <w:rPr>
          <w:rFonts w:ascii="Verdana" w:hAnsi="Verdana"/>
        </w:rPr>
        <w:t xml:space="preserve"> April 2010 and 31</w:t>
      </w:r>
      <w:r w:rsidRPr="00C137D9">
        <w:rPr>
          <w:rFonts w:ascii="Verdana" w:hAnsi="Verdana"/>
          <w:vertAlign w:val="superscript"/>
        </w:rPr>
        <w:t>st</w:t>
      </w:r>
      <w:r>
        <w:rPr>
          <w:rFonts w:ascii="Verdana" w:hAnsi="Verdana"/>
        </w:rPr>
        <w:t xml:space="preserve"> March </w:t>
      </w:r>
      <w:r>
        <w:rPr>
          <w:rFonts w:ascii="Verdana" w:hAnsi="Verdana"/>
        </w:rPr>
        <w:lastRenderedPageBreak/>
        <w:t xml:space="preserve">2011. From the HES dataset we also extracted age group (coded as above), IMD quintile and PCT of residence of the mother, dropping records where one or more of these variables were not recorded (see </w:t>
      </w:r>
      <w:r w:rsidRPr="00031776">
        <w:rPr>
          <w:rFonts w:ascii="Verdana" w:hAnsi="Verdana"/>
          <w:i/>
        </w:rPr>
        <w:t>Results</w:t>
      </w:r>
      <w:r>
        <w:rPr>
          <w:rFonts w:ascii="Verdana" w:hAnsi="Verdana"/>
        </w:rPr>
        <w:t xml:space="preserve"> for details of data dropped).</w:t>
      </w:r>
      <w:r w:rsidRPr="00185B35">
        <w:rPr>
          <w:rFonts w:ascii="Verdana" w:hAnsi="Verdana"/>
        </w:rPr>
        <w:t xml:space="preserve"> </w:t>
      </w:r>
      <w:r>
        <w:rPr>
          <w:rFonts w:ascii="Verdana" w:hAnsi="Verdana"/>
        </w:rPr>
        <w:t>We linked the area-level ethnicity variable derived from Census data to each mother’s record, matched on her home PCT. These HES data were collapsed within PCTs by age group and IMD quintile to generate a count of the number of deliveries in the study period for each combination of categories of these two variables.</w:t>
      </w:r>
    </w:p>
    <w:p w14:paraId="770DA5A1" w14:textId="77777777" w:rsidR="005F7B62" w:rsidRPr="003E5845" w:rsidRDefault="005F7B62" w:rsidP="007B4E2B">
      <w:pPr>
        <w:pStyle w:val="NoSpacing"/>
        <w:spacing w:line="480" w:lineRule="auto"/>
        <w:jc w:val="both"/>
        <w:rPr>
          <w:rFonts w:ascii="Verdana" w:hAnsi="Verdana"/>
        </w:rPr>
      </w:pPr>
    </w:p>
    <w:p w14:paraId="61980660" w14:textId="77777777" w:rsidR="005F7B62" w:rsidRDefault="005F7B62" w:rsidP="007B4E2B">
      <w:pPr>
        <w:pStyle w:val="NoSpacing"/>
        <w:spacing w:line="480" w:lineRule="auto"/>
        <w:jc w:val="both"/>
        <w:rPr>
          <w:rFonts w:ascii="Verdana" w:hAnsi="Verdana"/>
        </w:rPr>
      </w:pPr>
      <w:r>
        <w:rPr>
          <w:rFonts w:ascii="Verdana" w:hAnsi="Verdana"/>
        </w:rPr>
        <w:t xml:space="preserve">The parameter estimates from the MCMC models of IFS data were used to calculate the probability of a woman smoking according to her age group and IMD quintile. For each PCT, these probabilities were multiplied by the number of deliveries recorded in the HES data to women with each combination of age group and IMD, and then weighted for the percentage of women living in her PCT who were not of white or mixed ethnicity, to give an estimate of the number of women per stratum who smoked. The number of deliveries and estimated number of smokers in each stratum were summed by PCT to derive an estimate of smoking prevalence. Using methodology that has previously been adopted </w:t>
      </w:r>
      <w:proofErr w:type="gramStart"/>
      <w:r>
        <w:rPr>
          <w:rFonts w:ascii="Verdana" w:hAnsi="Verdana"/>
        </w:rPr>
        <w:t>elsewhere</w:t>
      </w:r>
      <w:r>
        <w:rPr>
          <w:rFonts w:ascii="Verdana" w:hAnsi="Verdana"/>
          <w:noProof/>
        </w:rPr>
        <w:t>[</w:t>
      </w:r>
      <w:proofErr w:type="gramEnd"/>
      <w:r>
        <w:rPr>
          <w:rFonts w:ascii="Verdana" w:hAnsi="Verdana"/>
          <w:noProof/>
        </w:rPr>
        <w:t>20]</w:t>
      </w:r>
      <w:r>
        <w:rPr>
          <w:rFonts w:ascii="Verdana" w:hAnsi="Verdana"/>
        </w:rPr>
        <w:t xml:space="preserve"> we calculated a Bayesian 95% credible interval for smoking prevalence for each PCT. </w:t>
      </w:r>
    </w:p>
    <w:p w14:paraId="20397881" w14:textId="77777777" w:rsidR="005F7B62" w:rsidRDefault="005F7B62" w:rsidP="007B4E2B">
      <w:pPr>
        <w:pStyle w:val="NoSpacing"/>
        <w:spacing w:line="480" w:lineRule="auto"/>
        <w:jc w:val="both"/>
        <w:rPr>
          <w:rFonts w:ascii="Verdana" w:hAnsi="Verdana"/>
        </w:rPr>
      </w:pPr>
    </w:p>
    <w:p w14:paraId="57D0A85B" w14:textId="77777777" w:rsidR="005F7B62" w:rsidRDefault="005F7B62" w:rsidP="007B4E2B">
      <w:pPr>
        <w:pStyle w:val="NoSpacing"/>
        <w:spacing w:line="480" w:lineRule="auto"/>
        <w:jc w:val="both"/>
        <w:rPr>
          <w:rFonts w:ascii="Verdana" w:hAnsi="Verdana"/>
        </w:rPr>
      </w:pPr>
      <w:r>
        <w:rPr>
          <w:rFonts w:ascii="Verdana" w:hAnsi="Verdana"/>
        </w:rPr>
        <w:t>A flow chart summarising our methods and providing further statistical details on the derivation of the credible intervals is provided as an additional file (Additional File 1)</w:t>
      </w:r>
      <w:r w:rsidRPr="008B58C5">
        <w:rPr>
          <w:rFonts w:ascii="Verdana" w:hAnsi="Verdana"/>
        </w:rPr>
        <w:t>.</w:t>
      </w:r>
      <w:r>
        <w:rPr>
          <w:rFonts w:ascii="Verdana" w:hAnsi="Verdana"/>
        </w:rPr>
        <w:t xml:space="preserve"> </w:t>
      </w:r>
    </w:p>
    <w:p w14:paraId="7AD78D70" w14:textId="77777777" w:rsidR="005F7B62" w:rsidRDefault="005F7B62" w:rsidP="007B4E2B">
      <w:pPr>
        <w:pStyle w:val="NoSpacing"/>
        <w:spacing w:line="480" w:lineRule="auto"/>
        <w:jc w:val="both"/>
        <w:rPr>
          <w:rFonts w:ascii="Verdana" w:hAnsi="Verdana"/>
        </w:rPr>
      </w:pPr>
    </w:p>
    <w:p w14:paraId="3A59EE7C" w14:textId="77777777" w:rsidR="005F7B62" w:rsidRDefault="005F7B62" w:rsidP="007B4E2B">
      <w:pPr>
        <w:pStyle w:val="NoSpacing"/>
        <w:spacing w:line="480" w:lineRule="auto"/>
        <w:jc w:val="both"/>
        <w:rPr>
          <w:rFonts w:ascii="Verdana" w:hAnsi="Verdana"/>
        </w:rPr>
      </w:pPr>
    </w:p>
    <w:p w14:paraId="271EDAFF" w14:textId="77777777" w:rsidR="005F7B62" w:rsidRPr="00162A22" w:rsidRDefault="005F7B62" w:rsidP="007B4E2B">
      <w:pPr>
        <w:pStyle w:val="NoSpacing"/>
        <w:spacing w:line="480" w:lineRule="auto"/>
        <w:jc w:val="both"/>
        <w:rPr>
          <w:rFonts w:ascii="Verdana" w:hAnsi="Verdana"/>
          <w:i/>
        </w:rPr>
      </w:pPr>
      <w:r w:rsidRPr="00162A22">
        <w:rPr>
          <w:rFonts w:ascii="Verdana" w:hAnsi="Verdana"/>
          <w:i/>
        </w:rPr>
        <w:lastRenderedPageBreak/>
        <w:t>Sensitivity analysis</w:t>
      </w:r>
    </w:p>
    <w:p w14:paraId="65C43B35" w14:textId="77777777" w:rsidR="005F7B62" w:rsidRDefault="005F7B62" w:rsidP="007B4E2B">
      <w:pPr>
        <w:pStyle w:val="NoSpacing"/>
        <w:spacing w:line="480" w:lineRule="auto"/>
        <w:jc w:val="both"/>
        <w:rPr>
          <w:rFonts w:ascii="Verdana" w:hAnsi="Verdana"/>
        </w:rPr>
      </w:pPr>
    </w:p>
    <w:p w14:paraId="3420408A" w14:textId="77777777" w:rsidR="005F7B62" w:rsidRDefault="005F7B62" w:rsidP="007B4E2B">
      <w:pPr>
        <w:pStyle w:val="NoSpacing"/>
        <w:spacing w:line="480" w:lineRule="auto"/>
        <w:jc w:val="both"/>
        <w:rPr>
          <w:rFonts w:ascii="Verdana" w:hAnsi="Verdana"/>
        </w:rPr>
      </w:pPr>
      <w:r>
        <w:rPr>
          <w:rFonts w:ascii="Verdana" w:hAnsi="Verdana"/>
        </w:rPr>
        <w:t>We re-ran stages 1 and 2 of our estimation procedures using ethnicity recorded at an individual-level within the IFS and HES where these data were available, instead of using the area-level ethnicity variable derived from Census data. This necessitated dropping the approximately 8% of deliveries recorded in HES where ethnicity was not documented. Whilst counts of expected numbers of smokers by PCT were likely underestimated, estimates of smoking prevalence were similar to those derived from models using ethnicity as an area-level variable. For brevity we present here only results from models where ethnicity is operationalised as an area-level variable, favouring these as fewer deliveries had to be excluded from the HES data and thus there was less underestimation of the absolute expected number of smokers.</w:t>
      </w:r>
    </w:p>
    <w:p w14:paraId="5458B145" w14:textId="77777777" w:rsidR="005F7B62" w:rsidRDefault="005F7B62" w:rsidP="007B4E2B">
      <w:pPr>
        <w:pStyle w:val="NoSpacing"/>
        <w:spacing w:line="480" w:lineRule="auto"/>
        <w:jc w:val="both"/>
        <w:rPr>
          <w:rFonts w:ascii="Verdana" w:hAnsi="Verdana"/>
        </w:rPr>
      </w:pPr>
    </w:p>
    <w:p w14:paraId="69957450" w14:textId="77777777" w:rsidR="005F7B62" w:rsidRPr="009300B6" w:rsidRDefault="005F7B62" w:rsidP="007B4E2B">
      <w:pPr>
        <w:pStyle w:val="NoSpacing"/>
        <w:spacing w:line="480" w:lineRule="auto"/>
        <w:jc w:val="both"/>
        <w:rPr>
          <w:rFonts w:ascii="Verdana" w:hAnsi="Verdana"/>
          <w:i/>
        </w:rPr>
      </w:pPr>
      <w:r w:rsidRPr="009300B6">
        <w:rPr>
          <w:rFonts w:ascii="Verdana" w:hAnsi="Verdana"/>
          <w:i/>
        </w:rPr>
        <w:t xml:space="preserve">Model validation </w:t>
      </w:r>
    </w:p>
    <w:p w14:paraId="259C0F82" w14:textId="77777777" w:rsidR="005F7B62" w:rsidRDefault="005F7B62" w:rsidP="007B4E2B">
      <w:pPr>
        <w:pStyle w:val="NoSpacing"/>
        <w:spacing w:line="480" w:lineRule="auto"/>
        <w:jc w:val="both"/>
        <w:rPr>
          <w:rFonts w:ascii="Verdana" w:hAnsi="Verdana"/>
        </w:rPr>
      </w:pPr>
    </w:p>
    <w:p w14:paraId="6F0BBE06" w14:textId="77777777" w:rsidR="005F7B62" w:rsidRDefault="005F7B62" w:rsidP="007B4E2B">
      <w:pPr>
        <w:pStyle w:val="NoSpacing"/>
        <w:spacing w:line="480" w:lineRule="auto"/>
        <w:jc w:val="both"/>
        <w:rPr>
          <w:rFonts w:ascii="Verdana" w:hAnsi="Verdana"/>
        </w:rPr>
      </w:pPr>
      <w:r>
        <w:rPr>
          <w:rFonts w:ascii="Verdana" w:hAnsi="Verdana"/>
        </w:rPr>
        <w:t xml:space="preserve">We used several of the approaches to validation of synthetic estimates which have been employed </w:t>
      </w:r>
      <w:proofErr w:type="gramStart"/>
      <w:r>
        <w:rPr>
          <w:rFonts w:ascii="Verdana" w:hAnsi="Verdana"/>
        </w:rPr>
        <w:t>elsewhere</w:t>
      </w:r>
      <w:r>
        <w:rPr>
          <w:rFonts w:ascii="Verdana" w:hAnsi="Verdana"/>
          <w:noProof/>
        </w:rPr>
        <w:t>[</w:t>
      </w:r>
      <w:proofErr w:type="gramEnd"/>
      <w:r>
        <w:rPr>
          <w:rFonts w:ascii="Verdana" w:hAnsi="Verdana"/>
          <w:noProof/>
        </w:rPr>
        <w:t>12]</w:t>
      </w:r>
      <w:r>
        <w:rPr>
          <w:rFonts w:ascii="Verdana" w:hAnsi="Verdana"/>
        </w:rPr>
        <w:t xml:space="preserve">. Firstly, we examined the relative magnitude and direction of the parameter estimates from the MCMC logistic regression models to assess whether these were in line with existing literature. A good synthetic estimation model ought to explain at least 40% of the variation between </w:t>
      </w:r>
      <w:proofErr w:type="gramStart"/>
      <w:r>
        <w:rPr>
          <w:rFonts w:ascii="Verdana" w:hAnsi="Verdana"/>
        </w:rPr>
        <w:t>areas</w:t>
      </w:r>
      <w:r>
        <w:rPr>
          <w:rFonts w:ascii="Verdana" w:hAnsi="Verdana"/>
          <w:noProof/>
        </w:rPr>
        <w:t>[</w:t>
      </w:r>
      <w:proofErr w:type="gramEnd"/>
      <w:r>
        <w:rPr>
          <w:rFonts w:ascii="Verdana" w:hAnsi="Verdana"/>
          <w:noProof/>
        </w:rPr>
        <w:t>21]</w:t>
      </w:r>
      <w:r>
        <w:rPr>
          <w:rFonts w:ascii="Verdana" w:hAnsi="Verdana"/>
        </w:rPr>
        <w:t xml:space="preserve"> and so from the IFS models we calculated the percentage of variation in smoking prevalence between PCTs explained by the parameters included in the final, parsimonious models. We also examined normal probability plots of the residuals from the IFS models, and calculated Moran’s I to examine </w:t>
      </w:r>
      <w:r>
        <w:rPr>
          <w:rFonts w:ascii="Verdana" w:hAnsi="Verdana"/>
        </w:rPr>
        <w:lastRenderedPageBreak/>
        <w:t xml:space="preserve">the extent of spatial autocorrelation between model area-level residuals; a value of Moran’s I &gt;0.1 was considered as a sign of model </w:t>
      </w:r>
      <w:proofErr w:type="gramStart"/>
      <w:r>
        <w:rPr>
          <w:rFonts w:ascii="Verdana" w:hAnsi="Verdana"/>
        </w:rPr>
        <w:t>invalidity</w:t>
      </w:r>
      <w:r>
        <w:rPr>
          <w:rFonts w:ascii="Verdana" w:hAnsi="Verdana"/>
          <w:noProof/>
        </w:rPr>
        <w:t>[</w:t>
      </w:r>
      <w:proofErr w:type="gramEnd"/>
      <w:r>
        <w:rPr>
          <w:rFonts w:ascii="Verdana" w:hAnsi="Verdana"/>
          <w:noProof/>
        </w:rPr>
        <w:t>12]</w:t>
      </w:r>
      <w:r>
        <w:rPr>
          <w:rFonts w:ascii="Verdana" w:hAnsi="Verdana"/>
        </w:rPr>
        <w:t>.</w:t>
      </w:r>
    </w:p>
    <w:p w14:paraId="3085D72E" w14:textId="77777777" w:rsidR="005F7B62" w:rsidRDefault="005F7B62" w:rsidP="007B4E2B">
      <w:pPr>
        <w:pStyle w:val="NoSpacing"/>
        <w:spacing w:line="480" w:lineRule="auto"/>
        <w:jc w:val="both"/>
        <w:rPr>
          <w:rFonts w:ascii="Verdana" w:hAnsi="Verdana"/>
        </w:rPr>
      </w:pPr>
    </w:p>
    <w:p w14:paraId="199CC1E0" w14:textId="77777777" w:rsidR="005F7B62" w:rsidRDefault="005F7B62" w:rsidP="007B4E2B">
      <w:pPr>
        <w:pStyle w:val="NoSpacing"/>
        <w:spacing w:line="480" w:lineRule="auto"/>
        <w:jc w:val="both"/>
        <w:rPr>
          <w:rFonts w:ascii="Verdana" w:hAnsi="Verdana"/>
        </w:rPr>
      </w:pPr>
      <w:r>
        <w:rPr>
          <w:rFonts w:ascii="Verdana" w:hAnsi="Verdana"/>
        </w:rPr>
        <w:t xml:space="preserve">We graphically compared our synthetic estimates to estimates of smoking prevalence by PCT derived directly from IFS data (which should generally be unbiased, just underpowered where the IFS surveyed only a few people in an </w:t>
      </w:r>
      <w:proofErr w:type="gramStart"/>
      <w:r>
        <w:rPr>
          <w:rFonts w:ascii="Verdana" w:hAnsi="Verdana"/>
        </w:rPr>
        <w:t>area</w:t>
      </w:r>
      <w:r>
        <w:rPr>
          <w:rFonts w:ascii="Verdana" w:hAnsi="Verdana"/>
          <w:noProof/>
        </w:rPr>
        <w:t>[</w:t>
      </w:r>
      <w:proofErr w:type="gramEnd"/>
      <w:r>
        <w:rPr>
          <w:rFonts w:ascii="Verdana" w:hAnsi="Verdana"/>
          <w:noProof/>
        </w:rPr>
        <w:t>12]</w:t>
      </w:r>
      <w:r>
        <w:rPr>
          <w:rFonts w:ascii="Verdana" w:hAnsi="Verdana"/>
        </w:rPr>
        <w:t>). We checked for heteroscedasticity by subtracting the synthetic estimates from the IFS estimates for each PCT and plotted these residuals against the synthetic estimates.</w:t>
      </w:r>
    </w:p>
    <w:p w14:paraId="2DC670C3" w14:textId="77777777" w:rsidR="005F7B62" w:rsidRDefault="005F7B62" w:rsidP="007B4E2B">
      <w:pPr>
        <w:pStyle w:val="NoSpacing"/>
        <w:spacing w:line="480" w:lineRule="auto"/>
        <w:ind w:left="720"/>
        <w:jc w:val="both"/>
        <w:rPr>
          <w:rFonts w:ascii="Verdana" w:hAnsi="Verdana"/>
        </w:rPr>
      </w:pPr>
    </w:p>
    <w:p w14:paraId="30E0C022" w14:textId="77777777" w:rsidR="005F7B62" w:rsidRDefault="005F7B62" w:rsidP="007B4E2B">
      <w:pPr>
        <w:pStyle w:val="NoSpacing"/>
        <w:spacing w:line="480" w:lineRule="auto"/>
        <w:jc w:val="both"/>
        <w:rPr>
          <w:rFonts w:ascii="Verdana" w:hAnsi="Verdana"/>
        </w:rPr>
      </w:pPr>
      <w:r>
        <w:rPr>
          <w:rFonts w:ascii="Verdana" w:hAnsi="Verdana"/>
        </w:rPr>
        <w:t>Finally, we drew a Bland-Altman plot to compare our synthetic estimates of smoking prevalence at delivery by PCT with SATOD data from 2010/11</w:t>
      </w:r>
      <w:r>
        <w:rPr>
          <w:rFonts w:ascii="Verdana" w:hAnsi="Verdana"/>
          <w:noProof/>
        </w:rPr>
        <w:t>[22]</w:t>
      </w:r>
      <w:r>
        <w:rPr>
          <w:rFonts w:ascii="Verdana" w:hAnsi="Verdana"/>
        </w:rPr>
        <w:t xml:space="preserve"> to assess the extent of agreement between the two measures. </w:t>
      </w:r>
    </w:p>
    <w:p w14:paraId="3937A348" w14:textId="77777777" w:rsidR="005F7B62" w:rsidRDefault="005F7B62" w:rsidP="007B4E2B">
      <w:pPr>
        <w:pStyle w:val="NoSpacing"/>
        <w:spacing w:line="480" w:lineRule="auto"/>
        <w:jc w:val="both"/>
        <w:rPr>
          <w:rFonts w:ascii="Verdana" w:hAnsi="Verdana"/>
        </w:rPr>
      </w:pPr>
    </w:p>
    <w:p w14:paraId="267FCD36" w14:textId="77777777" w:rsidR="005F7B62" w:rsidRPr="00792843" w:rsidRDefault="005F7B62" w:rsidP="007B4E2B">
      <w:pPr>
        <w:pStyle w:val="NoSpacing"/>
        <w:spacing w:line="480" w:lineRule="auto"/>
        <w:jc w:val="both"/>
        <w:rPr>
          <w:rFonts w:ascii="Verdana" w:hAnsi="Verdana"/>
          <w:i/>
        </w:rPr>
      </w:pPr>
      <w:r w:rsidRPr="00792843">
        <w:rPr>
          <w:rFonts w:ascii="Verdana" w:hAnsi="Verdana"/>
          <w:i/>
        </w:rPr>
        <w:t>Ethical approval</w:t>
      </w:r>
    </w:p>
    <w:p w14:paraId="0FF0521C" w14:textId="77777777" w:rsidR="005F7B62" w:rsidRDefault="005F7B62" w:rsidP="007B4E2B">
      <w:pPr>
        <w:pStyle w:val="NoSpacing"/>
        <w:spacing w:line="480" w:lineRule="auto"/>
        <w:jc w:val="both"/>
        <w:rPr>
          <w:rFonts w:ascii="Verdana" w:hAnsi="Verdana"/>
        </w:rPr>
      </w:pPr>
    </w:p>
    <w:p w14:paraId="118AA636" w14:textId="77777777" w:rsidR="005F7B62" w:rsidRDefault="005F7B62" w:rsidP="007B4E2B">
      <w:pPr>
        <w:pStyle w:val="NoSpacing"/>
        <w:spacing w:line="480" w:lineRule="auto"/>
        <w:jc w:val="both"/>
        <w:rPr>
          <w:rFonts w:ascii="Verdana" w:hAnsi="Verdana"/>
        </w:rPr>
      </w:pPr>
      <w:r>
        <w:rPr>
          <w:rFonts w:ascii="Verdana" w:hAnsi="Verdana"/>
        </w:rPr>
        <w:t>IFS data were obtained from the UK Data Service. No ethics approval was required for their use. Census data are available freely online. Ethics approval for the use of the HES data was obtained from the NHS Health and Social Care Information Centre (reference number NIC-166107-GT9RJ).</w:t>
      </w:r>
    </w:p>
    <w:p w14:paraId="0F171546" w14:textId="77777777" w:rsidR="005F7B62" w:rsidRDefault="005F7B62" w:rsidP="007B4E2B">
      <w:pPr>
        <w:pStyle w:val="NoSpacing"/>
        <w:spacing w:line="480" w:lineRule="auto"/>
        <w:jc w:val="both"/>
        <w:rPr>
          <w:rFonts w:ascii="Verdana" w:hAnsi="Verdana"/>
        </w:rPr>
      </w:pPr>
    </w:p>
    <w:p w14:paraId="0397E5FD" w14:textId="77777777" w:rsidR="005F7B62" w:rsidRDefault="005F7B62" w:rsidP="007B4E2B">
      <w:pPr>
        <w:pStyle w:val="NoSpacing"/>
        <w:spacing w:line="480" w:lineRule="auto"/>
        <w:jc w:val="both"/>
        <w:rPr>
          <w:rFonts w:ascii="Verdana" w:hAnsi="Verdana"/>
          <w:b/>
        </w:rPr>
      </w:pPr>
      <w:r w:rsidRPr="008B6B78">
        <w:rPr>
          <w:rFonts w:ascii="Verdana" w:hAnsi="Verdana"/>
          <w:b/>
        </w:rPr>
        <w:t>Results</w:t>
      </w:r>
    </w:p>
    <w:p w14:paraId="755EE04A" w14:textId="77777777" w:rsidR="005F7B62" w:rsidRPr="008B6B78" w:rsidRDefault="005F7B62" w:rsidP="007B4E2B">
      <w:pPr>
        <w:pStyle w:val="NoSpacing"/>
        <w:spacing w:line="480" w:lineRule="auto"/>
        <w:jc w:val="both"/>
        <w:rPr>
          <w:rFonts w:ascii="Verdana" w:hAnsi="Verdana"/>
          <w:b/>
        </w:rPr>
      </w:pPr>
    </w:p>
    <w:p w14:paraId="53CF7EBA" w14:textId="77777777" w:rsidR="005F7B62" w:rsidRDefault="005F7B62" w:rsidP="007B4E2B">
      <w:pPr>
        <w:pStyle w:val="NoSpacing"/>
        <w:spacing w:line="480" w:lineRule="auto"/>
        <w:jc w:val="both"/>
        <w:rPr>
          <w:rFonts w:ascii="Verdana" w:hAnsi="Verdana"/>
        </w:rPr>
      </w:pPr>
      <w:r>
        <w:rPr>
          <w:rFonts w:ascii="Verdana" w:hAnsi="Verdana"/>
        </w:rPr>
        <w:t xml:space="preserve">7,336 mothers completed the 2010 IFS stage 1 survey, though of these 35 (0.5%) had missing data for age, 10 (0.1%) were missing IMD and 189 (2.6%) did not give information about their smoking during pregnancy. After dropping </w:t>
      </w:r>
      <w:r>
        <w:rPr>
          <w:rFonts w:ascii="Verdana" w:hAnsi="Verdana"/>
        </w:rPr>
        <w:lastRenderedPageBreak/>
        <w:t xml:space="preserve">women with one or more missing variables, data were available from 7,085 (96.6%) respondents for subsequent modelling. Table 1 shows parameter estimates for the associations between predictor variables and smoking during pregnancy and at delivery from the final MCMC models. </w:t>
      </w:r>
    </w:p>
    <w:p w14:paraId="5A3D8B8C" w14:textId="77777777" w:rsidR="005F7B62" w:rsidRDefault="005F7B62" w:rsidP="007B4E2B">
      <w:pPr>
        <w:pStyle w:val="NoSpacing"/>
        <w:spacing w:line="480" w:lineRule="auto"/>
        <w:jc w:val="both"/>
        <w:rPr>
          <w:rFonts w:ascii="Verdana" w:hAnsi="Verdana"/>
        </w:rPr>
      </w:pPr>
    </w:p>
    <w:p w14:paraId="061F5BDF" w14:textId="77777777" w:rsidR="005F7B62" w:rsidRDefault="005F7B62" w:rsidP="007B4E2B">
      <w:pPr>
        <w:pStyle w:val="NoSpacing"/>
        <w:spacing w:line="480" w:lineRule="auto"/>
        <w:jc w:val="both"/>
        <w:rPr>
          <w:rFonts w:ascii="Verdana" w:hAnsi="Verdana"/>
        </w:rPr>
      </w:pPr>
    </w:p>
    <w:p w14:paraId="7C141D99" w14:textId="77777777" w:rsidR="005F7B62" w:rsidRDefault="005F7B62" w:rsidP="007B4E2B">
      <w:pPr>
        <w:pStyle w:val="NoSpacing"/>
        <w:spacing w:line="480" w:lineRule="auto"/>
        <w:jc w:val="both"/>
        <w:rPr>
          <w:rFonts w:ascii="Verdana" w:hAnsi="Verdana"/>
        </w:rPr>
      </w:pPr>
      <w:r>
        <w:rPr>
          <w:rFonts w:ascii="Verdana" w:hAnsi="Verdana"/>
        </w:rPr>
        <w:t>[Table 1 here]</w:t>
      </w:r>
    </w:p>
    <w:p w14:paraId="2AC08180" w14:textId="77777777" w:rsidR="005F7B62" w:rsidRDefault="005F7B62" w:rsidP="007B4E2B">
      <w:pPr>
        <w:pStyle w:val="NoSpacing"/>
        <w:spacing w:line="480" w:lineRule="auto"/>
        <w:jc w:val="both"/>
        <w:rPr>
          <w:rFonts w:ascii="Verdana" w:hAnsi="Verdana"/>
        </w:rPr>
      </w:pPr>
    </w:p>
    <w:p w14:paraId="3634DC59" w14:textId="77777777" w:rsidR="005F7B62" w:rsidRDefault="005F7B62" w:rsidP="007B4E2B">
      <w:pPr>
        <w:pStyle w:val="NoSpacing"/>
        <w:spacing w:line="480" w:lineRule="auto"/>
        <w:jc w:val="both"/>
        <w:rPr>
          <w:rFonts w:ascii="Verdana" w:hAnsi="Verdana"/>
        </w:rPr>
      </w:pPr>
    </w:p>
    <w:p w14:paraId="24F61BCC" w14:textId="77777777" w:rsidR="005F7B62" w:rsidRPr="00905C02" w:rsidRDefault="005F7B62" w:rsidP="007B4E2B">
      <w:pPr>
        <w:pStyle w:val="NoSpacing"/>
        <w:spacing w:line="480" w:lineRule="auto"/>
        <w:jc w:val="both"/>
        <w:rPr>
          <w:rFonts w:ascii="Verdana" w:hAnsi="Verdana"/>
        </w:rPr>
      </w:pPr>
      <w:r>
        <w:rPr>
          <w:rFonts w:ascii="Verdana" w:hAnsi="Verdana"/>
        </w:rPr>
        <w:t xml:space="preserve">These parameter estimates are broadly as expected and in line with existing literature – the likelihood of smoking increases with decreasing age group and increasing levels of deprivation, though younger mothers are more likely to be smokers regardless of their level of deprivation. As the percentage of women in an area who are not of white or mixed ethnicity increases so the likelihood of smoking falls. The predictor variables included in the two models appear to explain a high percentage of the variation in smoking prevalence between PCTs (86.4% of variation in smoking at delivery and 83.5% of variation in smoking during pregnancy). Normal probability plots of PCT-level residuals from the IFS models (see Additional File 2) </w:t>
      </w:r>
      <w:r w:rsidRPr="00726FDC">
        <w:rPr>
          <w:rFonts w:ascii="Verdana" w:hAnsi="Verdana"/>
        </w:rPr>
        <w:t xml:space="preserve">showed no substantial departures </w:t>
      </w:r>
      <w:r>
        <w:rPr>
          <w:rFonts w:ascii="Verdana" w:hAnsi="Verdana"/>
        </w:rPr>
        <w:t>from</w:t>
      </w:r>
      <w:r w:rsidRPr="00726FDC">
        <w:rPr>
          <w:rFonts w:ascii="Verdana" w:hAnsi="Verdana"/>
        </w:rPr>
        <w:t xml:space="preserve"> normality</w:t>
      </w:r>
      <w:r>
        <w:rPr>
          <w:rFonts w:ascii="Verdana" w:hAnsi="Verdana"/>
        </w:rPr>
        <w:t xml:space="preserve"> and choropleth maps of the residuals (Additional File 3) suggested there was no spatial clustering (Moran’s </w:t>
      </w:r>
      <w:r w:rsidRPr="00905C02">
        <w:rPr>
          <w:rFonts w:ascii="Verdana" w:hAnsi="Verdana"/>
        </w:rPr>
        <w:t>I = 0.019 for smoking ever during pregnancy and 0.032 for smoking at delivery).</w:t>
      </w:r>
    </w:p>
    <w:p w14:paraId="1095364E" w14:textId="77777777" w:rsidR="005F7B62" w:rsidRPr="00905C02" w:rsidRDefault="005F7B62" w:rsidP="007B4E2B">
      <w:pPr>
        <w:pStyle w:val="NoSpacing"/>
        <w:spacing w:line="480" w:lineRule="auto"/>
        <w:jc w:val="both"/>
        <w:rPr>
          <w:rFonts w:ascii="Verdana" w:hAnsi="Verdana"/>
        </w:rPr>
      </w:pPr>
    </w:p>
    <w:p w14:paraId="475115F8" w14:textId="77777777" w:rsidR="005F7B62" w:rsidRDefault="005F7B62" w:rsidP="007B4E2B">
      <w:pPr>
        <w:pStyle w:val="NoSpacing"/>
        <w:spacing w:line="480" w:lineRule="auto"/>
        <w:jc w:val="both"/>
        <w:rPr>
          <w:rFonts w:ascii="Verdana" w:hAnsi="Verdana"/>
        </w:rPr>
      </w:pPr>
      <w:r w:rsidRPr="00905C02">
        <w:rPr>
          <w:rFonts w:ascii="Verdana" w:hAnsi="Verdana"/>
        </w:rPr>
        <w:t>HES data were available for 667,432 deliveries from 1</w:t>
      </w:r>
      <w:r w:rsidRPr="00905C02">
        <w:rPr>
          <w:rFonts w:ascii="Verdana" w:hAnsi="Verdana"/>
          <w:vertAlign w:val="superscript"/>
        </w:rPr>
        <w:t>st</w:t>
      </w:r>
      <w:r w:rsidRPr="00905C02">
        <w:rPr>
          <w:rFonts w:ascii="Verdana" w:hAnsi="Verdana"/>
        </w:rPr>
        <w:t xml:space="preserve"> April 2010 to 31</w:t>
      </w:r>
      <w:r w:rsidRPr="00905C02">
        <w:rPr>
          <w:rFonts w:ascii="Verdana" w:hAnsi="Verdana"/>
          <w:vertAlign w:val="superscript"/>
        </w:rPr>
        <w:t>st</w:t>
      </w:r>
      <w:r w:rsidRPr="00905C02">
        <w:rPr>
          <w:rFonts w:ascii="Verdana" w:hAnsi="Verdana"/>
        </w:rPr>
        <w:t xml:space="preserve"> March 2011; of these, 5,655 were dropped as the mother’s</w:t>
      </w:r>
      <w:r>
        <w:rPr>
          <w:rFonts w:ascii="Verdana" w:hAnsi="Verdana"/>
        </w:rPr>
        <w:t xml:space="preserve"> age group, IMD and/or PCT </w:t>
      </w:r>
      <w:r>
        <w:rPr>
          <w:rFonts w:ascii="Verdana" w:hAnsi="Verdana"/>
        </w:rPr>
        <w:lastRenderedPageBreak/>
        <w:t>of residence were missing, leaving 661,777 (99.2%) deliveries in which to estimate smoking prevalence.</w:t>
      </w:r>
    </w:p>
    <w:p w14:paraId="0CC49773" w14:textId="77777777" w:rsidR="005F7B62" w:rsidRDefault="005F7B62" w:rsidP="007B4E2B">
      <w:pPr>
        <w:pStyle w:val="NoSpacing"/>
        <w:spacing w:line="480" w:lineRule="auto"/>
        <w:jc w:val="both"/>
        <w:rPr>
          <w:rFonts w:ascii="Verdana" w:hAnsi="Verdana"/>
        </w:rPr>
      </w:pPr>
    </w:p>
    <w:p w14:paraId="6CF2CDC6" w14:textId="77777777" w:rsidR="005F7B62" w:rsidRDefault="005F7B62" w:rsidP="007B4E2B">
      <w:pPr>
        <w:pStyle w:val="NoSpacing"/>
        <w:spacing w:line="480" w:lineRule="auto"/>
        <w:jc w:val="both"/>
        <w:rPr>
          <w:rFonts w:ascii="Verdana" w:hAnsi="Verdana"/>
        </w:rPr>
      </w:pPr>
      <w:r>
        <w:rPr>
          <w:rFonts w:ascii="Verdana" w:hAnsi="Verdana"/>
        </w:rPr>
        <w:t xml:space="preserve">Figure 1 shows the geographical variation in the synthetic estimates of the expected prevalence of smoking during pregnancy and at delivery by PCT. The figures used to produce these maps, plus the 95% credible interval for each PCT, are presented in the </w:t>
      </w:r>
      <w:r w:rsidRPr="00D53D67">
        <w:rPr>
          <w:rFonts w:ascii="Verdana" w:hAnsi="Verdana"/>
        </w:rPr>
        <w:t xml:space="preserve">supplementary material </w:t>
      </w:r>
      <w:r>
        <w:rPr>
          <w:rFonts w:ascii="Verdana" w:hAnsi="Verdana"/>
        </w:rPr>
        <w:t>(Additional File 4)</w:t>
      </w:r>
      <w:r w:rsidRPr="008B58C5">
        <w:rPr>
          <w:rFonts w:ascii="Verdana" w:hAnsi="Verdana"/>
        </w:rPr>
        <w:t>.</w:t>
      </w:r>
      <w:r>
        <w:rPr>
          <w:rFonts w:ascii="Verdana" w:hAnsi="Verdana"/>
        </w:rPr>
        <w:t xml:space="preserve"> A colour version of the map is available in the </w:t>
      </w:r>
      <w:r w:rsidRPr="00D53D67">
        <w:rPr>
          <w:rFonts w:ascii="Verdana" w:hAnsi="Verdana"/>
        </w:rPr>
        <w:t xml:space="preserve">supplementary material </w:t>
      </w:r>
      <w:r>
        <w:rPr>
          <w:rFonts w:ascii="Verdana" w:hAnsi="Verdana"/>
        </w:rPr>
        <w:t>(Additional File 5)</w:t>
      </w:r>
      <w:r w:rsidRPr="008B58C5">
        <w:rPr>
          <w:rFonts w:ascii="Verdana" w:hAnsi="Verdana"/>
        </w:rPr>
        <w:t>.</w:t>
      </w:r>
    </w:p>
    <w:p w14:paraId="39CD0B35" w14:textId="77777777" w:rsidR="005F7B62" w:rsidRDefault="005F7B62" w:rsidP="007B4E2B">
      <w:pPr>
        <w:pStyle w:val="NoSpacing"/>
        <w:jc w:val="both"/>
        <w:rPr>
          <w:rFonts w:ascii="Verdana" w:hAnsi="Verdana"/>
        </w:rPr>
      </w:pPr>
    </w:p>
    <w:p w14:paraId="0A33C7D9" w14:textId="77777777" w:rsidR="005F7B62" w:rsidRDefault="005F7B62" w:rsidP="007B4E2B">
      <w:pPr>
        <w:pStyle w:val="NoSpacing"/>
        <w:jc w:val="both"/>
        <w:rPr>
          <w:rFonts w:ascii="Verdana" w:hAnsi="Verdana"/>
        </w:rPr>
      </w:pPr>
    </w:p>
    <w:p w14:paraId="7F869044" w14:textId="77777777" w:rsidR="005F7B62" w:rsidRDefault="005F7B62" w:rsidP="007B4E2B">
      <w:pPr>
        <w:pStyle w:val="NoSpacing"/>
        <w:jc w:val="both"/>
        <w:rPr>
          <w:rFonts w:ascii="Verdana" w:hAnsi="Verdana"/>
        </w:rPr>
      </w:pPr>
    </w:p>
    <w:p w14:paraId="685988FF" w14:textId="77777777" w:rsidR="005F7B62" w:rsidRDefault="005F7B62" w:rsidP="007B4E2B">
      <w:pPr>
        <w:pStyle w:val="NoSpacing"/>
        <w:jc w:val="both"/>
        <w:rPr>
          <w:rFonts w:ascii="Verdana" w:hAnsi="Verdana"/>
        </w:rPr>
      </w:pPr>
    </w:p>
    <w:p w14:paraId="4DE9880F" w14:textId="77777777" w:rsidR="005F7B62" w:rsidRDefault="005F7B62" w:rsidP="007B4E2B">
      <w:pPr>
        <w:pStyle w:val="NoSpacing"/>
        <w:jc w:val="both"/>
        <w:rPr>
          <w:rFonts w:ascii="Verdana" w:hAnsi="Verdana"/>
        </w:rPr>
      </w:pPr>
    </w:p>
    <w:p w14:paraId="13159718" w14:textId="77777777" w:rsidR="005F7B62" w:rsidRDefault="005F7B62" w:rsidP="007B4E2B">
      <w:pPr>
        <w:pStyle w:val="NoSpacing"/>
        <w:jc w:val="both"/>
        <w:rPr>
          <w:rFonts w:ascii="Verdana" w:hAnsi="Verdana"/>
        </w:rPr>
      </w:pPr>
      <w:r>
        <w:rPr>
          <w:rFonts w:ascii="Verdana" w:hAnsi="Verdana"/>
        </w:rPr>
        <w:t>[Figure 1 here]</w:t>
      </w:r>
    </w:p>
    <w:p w14:paraId="3E523FEC" w14:textId="77777777" w:rsidR="005F7B62" w:rsidRDefault="005F7B62" w:rsidP="007B4E2B">
      <w:pPr>
        <w:pStyle w:val="NoSpacing"/>
        <w:jc w:val="both"/>
        <w:rPr>
          <w:rFonts w:ascii="Verdana" w:hAnsi="Verdana"/>
        </w:rPr>
      </w:pPr>
    </w:p>
    <w:p w14:paraId="746B1028" w14:textId="77777777" w:rsidR="005F7B62" w:rsidRDefault="005F7B62" w:rsidP="007B4E2B">
      <w:pPr>
        <w:pStyle w:val="NoSpacing"/>
        <w:jc w:val="both"/>
        <w:rPr>
          <w:rFonts w:ascii="Verdana" w:hAnsi="Verdana"/>
        </w:rPr>
      </w:pPr>
    </w:p>
    <w:p w14:paraId="4A57BD0D" w14:textId="77777777" w:rsidR="005F7B62" w:rsidRDefault="005F7B62" w:rsidP="007B4E2B">
      <w:pPr>
        <w:pStyle w:val="NoSpacing"/>
        <w:jc w:val="both"/>
        <w:rPr>
          <w:rFonts w:ascii="Verdana" w:hAnsi="Verdana"/>
        </w:rPr>
      </w:pPr>
    </w:p>
    <w:p w14:paraId="22FC7291" w14:textId="77777777" w:rsidR="005F7B62" w:rsidRDefault="005F7B62" w:rsidP="007B4E2B">
      <w:pPr>
        <w:pStyle w:val="NoSpacing"/>
        <w:jc w:val="both"/>
        <w:rPr>
          <w:rFonts w:ascii="Verdana" w:hAnsi="Verdana"/>
        </w:rPr>
      </w:pPr>
    </w:p>
    <w:p w14:paraId="49C3EC28" w14:textId="77777777" w:rsidR="005F7B62" w:rsidRDefault="005F7B62" w:rsidP="007B4E2B">
      <w:pPr>
        <w:pStyle w:val="NoSpacing"/>
        <w:jc w:val="both"/>
        <w:rPr>
          <w:rFonts w:ascii="Verdana" w:hAnsi="Verdana"/>
        </w:rPr>
      </w:pPr>
    </w:p>
    <w:p w14:paraId="7C479F4E" w14:textId="77777777" w:rsidR="005F7B62" w:rsidRDefault="005F7B62" w:rsidP="007B4E2B">
      <w:pPr>
        <w:pStyle w:val="NoSpacing"/>
        <w:jc w:val="both"/>
        <w:rPr>
          <w:rFonts w:ascii="Verdana" w:hAnsi="Verdana"/>
        </w:rPr>
      </w:pPr>
    </w:p>
    <w:p w14:paraId="62B77F4D" w14:textId="77777777" w:rsidR="005F7B62" w:rsidRDefault="005F7B62" w:rsidP="007B4E2B">
      <w:pPr>
        <w:pStyle w:val="NoSpacing"/>
        <w:spacing w:line="480" w:lineRule="auto"/>
        <w:jc w:val="both"/>
        <w:rPr>
          <w:rFonts w:ascii="Verdana" w:hAnsi="Verdana"/>
        </w:rPr>
      </w:pPr>
      <w:r>
        <w:rPr>
          <w:rFonts w:ascii="Verdana" w:hAnsi="Verdana"/>
        </w:rPr>
        <w:t>Broadly speaking, Figure 1 shows a higher prevalence of smoking ever during pregnancy or at delivery in the more deprived areas where the population is predominantly of white or mixed ethnicity, such as the North West, North East, Lincolnshire and east Kent. Lower expected figures are seen in areas such as the London boroughs and the West Midlands, which, although are relatively deprived in parts, have populations largely not of white or mixed ethnicity.</w:t>
      </w:r>
    </w:p>
    <w:p w14:paraId="349B9280" w14:textId="77777777" w:rsidR="005F7B62" w:rsidRDefault="005F7B62" w:rsidP="007B4E2B">
      <w:pPr>
        <w:pStyle w:val="NoSpacing"/>
        <w:spacing w:line="480" w:lineRule="auto"/>
        <w:jc w:val="both"/>
        <w:rPr>
          <w:rFonts w:ascii="Verdana" w:hAnsi="Verdana"/>
        </w:rPr>
      </w:pPr>
    </w:p>
    <w:p w14:paraId="4F50170F" w14:textId="77777777" w:rsidR="005F7B62" w:rsidRDefault="005F7B62" w:rsidP="007B4E2B">
      <w:pPr>
        <w:pStyle w:val="NoSpacing"/>
        <w:spacing w:line="480" w:lineRule="auto"/>
        <w:jc w:val="both"/>
        <w:rPr>
          <w:rFonts w:ascii="Verdana" w:hAnsi="Verdana"/>
        </w:rPr>
      </w:pPr>
      <w:r>
        <w:rPr>
          <w:rFonts w:ascii="Verdana" w:hAnsi="Verdana"/>
        </w:rPr>
        <w:t xml:space="preserve">There was no evidence of substantial bias or heteroscedasticity in our synthetic estimates (see </w:t>
      </w:r>
      <w:r w:rsidRPr="00D53D67">
        <w:rPr>
          <w:rFonts w:ascii="Verdana" w:hAnsi="Verdana"/>
        </w:rPr>
        <w:t xml:space="preserve">supplementary material part </w:t>
      </w:r>
      <w:r>
        <w:rPr>
          <w:rFonts w:ascii="Verdana" w:hAnsi="Verdana"/>
        </w:rPr>
        <w:t>6), though the very small number of women sampled in the IFS in some PCTs (</w:t>
      </w:r>
      <w:r w:rsidRPr="00ED0925">
        <w:rPr>
          <w:rFonts w:ascii="Verdana" w:hAnsi="Verdana"/>
        </w:rPr>
        <w:t>16 PCTs had fewer than 20 survey respondents</w:t>
      </w:r>
      <w:r>
        <w:rPr>
          <w:rFonts w:ascii="Verdana" w:hAnsi="Verdana"/>
        </w:rPr>
        <w:t>, and 5 had fewer than 10) makes comparisons between the IFS-based estimates and model-based synthetic estimates difficult.</w:t>
      </w:r>
    </w:p>
    <w:p w14:paraId="4E917D21" w14:textId="77777777" w:rsidR="005F7B62" w:rsidRDefault="005F7B62" w:rsidP="007B4E2B">
      <w:pPr>
        <w:pStyle w:val="NoSpacing"/>
        <w:spacing w:line="480" w:lineRule="auto"/>
        <w:jc w:val="both"/>
        <w:rPr>
          <w:rFonts w:ascii="Verdana" w:hAnsi="Verdana"/>
        </w:rPr>
      </w:pPr>
    </w:p>
    <w:p w14:paraId="3E7A3D4B" w14:textId="77777777" w:rsidR="005F7B62" w:rsidRDefault="005F7B62" w:rsidP="007B4E2B">
      <w:pPr>
        <w:pStyle w:val="NoSpacing"/>
        <w:spacing w:line="480" w:lineRule="auto"/>
        <w:jc w:val="both"/>
        <w:rPr>
          <w:rFonts w:ascii="Verdana" w:hAnsi="Verdana"/>
        </w:rPr>
      </w:pPr>
      <w:r>
        <w:rPr>
          <w:rFonts w:ascii="Verdana" w:hAnsi="Verdana"/>
        </w:rPr>
        <w:t xml:space="preserve">The Bland-Altman plot in Figure 2 illustrates the extent of agreement between SATOD data on the prevalence of smoking at delivery and our model-based synthetic estimates. The bias (the mean difference between the SATOD and model-based estimates for each PCT) is equal to 2.99%, indicating that, on average, the SATOD estimates are higher than the model-based estimates. The limits of agreement are quite wide, showing there is large variability between the relative magnitudes of the two measures between PCTs. As </w:t>
      </w:r>
      <w:r w:rsidRPr="00C27CD6">
        <w:rPr>
          <w:rFonts w:ascii="Verdana" w:hAnsi="Verdana"/>
        </w:rPr>
        <w:t xml:space="preserve">the average </w:t>
      </w:r>
      <w:r>
        <w:rPr>
          <w:rFonts w:ascii="Verdana" w:hAnsi="Verdana"/>
        </w:rPr>
        <w:t>of the SATOD and model-based estimates for each PCT increases,</w:t>
      </w:r>
      <w:r w:rsidRPr="00C27CD6">
        <w:rPr>
          <w:rFonts w:ascii="Verdana" w:hAnsi="Verdana"/>
        </w:rPr>
        <w:t xml:space="preserve"> the difference betwe</w:t>
      </w:r>
      <w:r>
        <w:rPr>
          <w:rFonts w:ascii="Verdana" w:hAnsi="Verdana"/>
        </w:rPr>
        <w:t>en the two measures appears to increase (with SATOD data being the higher of the two).</w:t>
      </w:r>
    </w:p>
    <w:p w14:paraId="728E4C12" w14:textId="77777777" w:rsidR="005F7B62" w:rsidRDefault="005F7B62" w:rsidP="007B4E2B">
      <w:pPr>
        <w:pStyle w:val="NoSpacing"/>
        <w:spacing w:line="480" w:lineRule="auto"/>
        <w:jc w:val="both"/>
        <w:rPr>
          <w:rFonts w:ascii="Verdana" w:hAnsi="Verdana"/>
        </w:rPr>
      </w:pPr>
    </w:p>
    <w:p w14:paraId="580948F9" w14:textId="77777777" w:rsidR="005F7B62" w:rsidRDefault="005F7B62" w:rsidP="007B4E2B">
      <w:pPr>
        <w:pStyle w:val="NoSpacing"/>
        <w:spacing w:line="480" w:lineRule="auto"/>
        <w:jc w:val="both"/>
        <w:rPr>
          <w:rFonts w:ascii="Verdana" w:hAnsi="Verdana"/>
        </w:rPr>
      </w:pPr>
    </w:p>
    <w:p w14:paraId="77414ACD" w14:textId="77777777" w:rsidR="005F7B62" w:rsidRDefault="005F7B62" w:rsidP="007B4E2B">
      <w:pPr>
        <w:pStyle w:val="NoSpacing"/>
        <w:spacing w:line="480" w:lineRule="auto"/>
        <w:jc w:val="both"/>
        <w:rPr>
          <w:rFonts w:ascii="Verdana" w:hAnsi="Verdana"/>
        </w:rPr>
      </w:pPr>
      <w:r>
        <w:rPr>
          <w:rFonts w:ascii="Verdana" w:hAnsi="Verdana"/>
        </w:rPr>
        <w:t>[Figure 2 here]</w:t>
      </w:r>
    </w:p>
    <w:p w14:paraId="1EDF8C37" w14:textId="77777777" w:rsidR="005F7B62" w:rsidRDefault="005F7B62" w:rsidP="007B4E2B">
      <w:pPr>
        <w:pStyle w:val="NoSpacing"/>
        <w:jc w:val="both"/>
        <w:rPr>
          <w:rFonts w:ascii="Verdana" w:hAnsi="Verdana"/>
        </w:rPr>
      </w:pPr>
    </w:p>
    <w:p w14:paraId="0112E9A2" w14:textId="77777777" w:rsidR="005F7B62" w:rsidRDefault="005F7B62" w:rsidP="007B4E2B">
      <w:pPr>
        <w:pStyle w:val="NoSpacing"/>
        <w:jc w:val="both"/>
        <w:rPr>
          <w:rFonts w:ascii="Verdana" w:hAnsi="Verdana"/>
        </w:rPr>
      </w:pPr>
    </w:p>
    <w:p w14:paraId="4D99A28C" w14:textId="77777777" w:rsidR="005F7B62" w:rsidRDefault="005F7B62" w:rsidP="007B4E2B">
      <w:pPr>
        <w:pStyle w:val="NoSpacing"/>
        <w:jc w:val="both"/>
        <w:rPr>
          <w:rFonts w:ascii="Verdana" w:hAnsi="Verdana"/>
        </w:rPr>
      </w:pPr>
    </w:p>
    <w:p w14:paraId="19FDC5A1" w14:textId="77777777" w:rsidR="005F7B62" w:rsidRDefault="005F7B62" w:rsidP="007B4E2B">
      <w:pPr>
        <w:pStyle w:val="NoSpacing"/>
        <w:jc w:val="both"/>
        <w:rPr>
          <w:rFonts w:ascii="Verdana" w:hAnsi="Verdana"/>
        </w:rPr>
      </w:pPr>
    </w:p>
    <w:p w14:paraId="37937E97" w14:textId="77777777" w:rsidR="005F7B62" w:rsidRPr="00CE0C30" w:rsidRDefault="005F7B62" w:rsidP="007B4E2B">
      <w:pPr>
        <w:pStyle w:val="NoSpacing"/>
        <w:spacing w:line="480" w:lineRule="auto"/>
        <w:jc w:val="both"/>
        <w:rPr>
          <w:rFonts w:ascii="Verdana" w:hAnsi="Verdana"/>
          <w:b/>
        </w:rPr>
      </w:pPr>
      <w:r w:rsidRPr="00CE0C30">
        <w:rPr>
          <w:rFonts w:ascii="Verdana" w:hAnsi="Verdana"/>
          <w:b/>
        </w:rPr>
        <w:t>Discussion</w:t>
      </w:r>
      <w:r>
        <w:rPr>
          <w:rFonts w:ascii="Verdana" w:hAnsi="Verdana"/>
          <w:b/>
        </w:rPr>
        <w:t xml:space="preserve"> and conclusions</w:t>
      </w:r>
    </w:p>
    <w:p w14:paraId="306C3D2D" w14:textId="77777777" w:rsidR="005F7B62" w:rsidRDefault="005F7B62" w:rsidP="007B4E2B">
      <w:pPr>
        <w:pStyle w:val="NoSpacing"/>
        <w:spacing w:line="480" w:lineRule="auto"/>
        <w:jc w:val="both"/>
        <w:rPr>
          <w:rFonts w:ascii="Verdana" w:hAnsi="Verdana"/>
        </w:rPr>
      </w:pPr>
    </w:p>
    <w:p w14:paraId="4373A46A" w14:textId="77777777" w:rsidR="005F7B62" w:rsidRDefault="005F7B62" w:rsidP="007B4E2B">
      <w:pPr>
        <w:pStyle w:val="NoSpacing"/>
        <w:spacing w:line="480" w:lineRule="auto"/>
        <w:jc w:val="both"/>
        <w:rPr>
          <w:rFonts w:ascii="Verdana" w:hAnsi="Verdana"/>
        </w:rPr>
      </w:pPr>
      <w:r>
        <w:rPr>
          <w:rFonts w:ascii="Verdana" w:hAnsi="Verdana"/>
        </w:rPr>
        <w:t>In this study we have demonstrated the potential to produce synthetic estimates for smoking prevalence during pregnancy at a geographical scale where data are not available routinely. Overall, these estimates appear to be valid.</w:t>
      </w:r>
    </w:p>
    <w:p w14:paraId="467751C5" w14:textId="77777777" w:rsidR="005F7B62" w:rsidRDefault="005F7B62" w:rsidP="007B4E2B">
      <w:pPr>
        <w:pStyle w:val="NoSpacing"/>
        <w:spacing w:line="480" w:lineRule="auto"/>
        <w:jc w:val="both"/>
        <w:rPr>
          <w:rFonts w:ascii="Verdana" w:hAnsi="Verdana"/>
        </w:rPr>
      </w:pPr>
    </w:p>
    <w:p w14:paraId="6A88D58B" w14:textId="77777777" w:rsidR="005F7B62" w:rsidRDefault="005F7B62" w:rsidP="007B4E2B">
      <w:pPr>
        <w:pStyle w:val="NoSpacing"/>
        <w:spacing w:line="480" w:lineRule="auto"/>
        <w:jc w:val="both"/>
        <w:rPr>
          <w:rFonts w:ascii="Verdana" w:hAnsi="Verdana"/>
        </w:rPr>
      </w:pPr>
      <w:r>
        <w:rPr>
          <w:rFonts w:ascii="Verdana" w:hAnsi="Verdana"/>
        </w:rPr>
        <w:t xml:space="preserve">These synthetic estimates represent a ‘best guess’ at the prevalence of smoking during pregnancy and at delivery based on the age group and deprivation level of women giving birth and the ethnic profile of the area in which they live. The figures are unlikely to be identical to data derived from survey-based methods. </w:t>
      </w:r>
      <w:r>
        <w:rPr>
          <w:rFonts w:ascii="Verdana" w:hAnsi="Verdana"/>
        </w:rPr>
        <w:lastRenderedPageBreak/>
        <w:t xml:space="preserve">However, our figures for expected smoking prevalence at delivery show some agreement with SATOD data, though generally the synthetic estimates are slightly lower than SATOD figures. Based on the synthetic estimates approximately 17% of women in the worst-performing PCT were expected to be smoking at delivery. However, in the SATOD data 28 PCTs had a smoking prevalence of at least 20%. </w:t>
      </w:r>
      <w:r w:rsidRPr="00CF3134">
        <w:rPr>
          <w:rFonts w:ascii="Verdana" w:hAnsi="Verdana"/>
        </w:rPr>
        <w:t xml:space="preserve">The SATOD estimate for smoking prevalence was outside the 95% credible interval for a substantial number of PCTs (113/151, 74.8%); </w:t>
      </w:r>
      <w:r>
        <w:rPr>
          <w:rFonts w:ascii="Verdana" w:hAnsi="Verdana"/>
        </w:rPr>
        <w:t>PCTs</w:t>
      </w:r>
      <w:r w:rsidRPr="00CF3134">
        <w:rPr>
          <w:rFonts w:ascii="Verdana" w:hAnsi="Verdana"/>
        </w:rPr>
        <w:t xml:space="preserve"> with lower smoking </w:t>
      </w:r>
      <w:proofErr w:type="spellStart"/>
      <w:r w:rsidRPr="00CF3134">
        <w:rPr>
          <w:rFonts w:ascii="Verdana" w:hAnsi="Verdana"/>
        </w:rPr>
        <w:t>prevalences</w:t>
      </w:r>
      <w:proofErr w:type="spellEnd"/>
      <w:r w:rsidRPr="00CF3134">
        <w:rPr>
          <w:rFonts w:ascii="Verdana" w:hAnsi="Verdana"/>
        </w:rPr>
        <w:t xml:space="preserve"> tended to have 95% credible intervals above the SATOD estimate and those with higher smoking </w:t>
      </w:r>
      <w:proofErr w:type="spellStart"/>
      <w:r w:rsidRPr="00CF3134">
        <w:rPr>
          <w:rFonts w:ascii="Verdana" w:hAnsi="Verdana"/>
        </w:rPr>
        <w:t>prevalences</w:t>
      </w:r>
      <w:proofErr w:type="spellEnd"/>
      <w:r w:rsidRPr="00CF3134">
        <w:rPr>
          <w:rFonts w:ascii="Verdana" w:hAnsi="Verdana"/>
        </w:rPr>
        <w:t xml:space="preserve"> tended to ha</w:t>
      </w:r>
      <w:r>
        <w:rPr>
          <w:rFonts w:ascii="Verdana" w:hAnsi="Verdana"/>
        </w:rPr>
        <w:t>ve 95% credible intervals below</w:t>
      </w:r>
      <w:r w:rsidRPr="00CF3134">
        <w:rPr>
          <w:rFonts w:ascii="Verdana" w:hAnsi="Verdana"/>
        </w:rPr>
        <w:t xml:space="preserve"> the SATOD estimate.</w:t>
      </w:r>
      <w:r>
        <w:rPr>
          <w:rFonts w:ascii="Verdana" w:hAnsi="Verdana"/>
        </w:rPr>
        <w:t xml:space="preserve"> </w:t>
      </w:r>
    </w:p>
    <w:p w14:paraId="1E7533AD" w14:textId="77777777" w:rsidR="005F7B62" w:rsidRDefault="005F7B62" w:rsidP="007B4E2B">
      <w:pPr>
        <w:pStyle w:val="NoSpacing"/>
        <w:spacing w:line="480" w:lineRule="auto"/>
        <w:jc w:val="both"/>
        <w:rPr>
          <w:rFonts w:ascii="Verdana" w:hAnsi="Verdana"/>
        </w:rPr>
      </w:pPr>
    </w:p>
    <w:p w14:paraId="114C4932" w14:textId="77777777" w:rsidR="005F7B62" w:rsidRDefault="005F7B62" w:rsidP="007B4E2B">
      <w:pPr>
        <w:pStyle w:val="NoSpacing"/>
        <w:spacing w:line="480" w:lineRule="auto"/>
        <w:jc w:val="both"/>
        <w:rPr>
          <w:rFonts w:ascii="Verdana" w:hAnsi="Verdana"/>
        </w:rPr>
      </w:pPr>
      <w:r>
        <w:rPr>
          <w:rFonts w:ascii="Verdana" w:hAnsi="Verdana"/>
        </w:rPr>
        <w:t xml:space="preserve">Using SATOD data, Blackpool PCT has consistently been highlighted as having the highest figure for smoking prevalence at delivery in England – in </w:t>
      </w:r>
      <w:r w:rsidRPr="00622D60">
        <w:rPr>
          <w:rFonts w:ascii="Verdana" w:hAnsi="Verdana"/>
        </w:rPr>
        <w:t>2010/11,</w:t>
      </w:r>
      <w:r>
        <w:rPr>
          <w:rFonts w:ascii="Verdana" w:hAnsi="Verdana"/>
        </w:rPr>
        <w:t xml:space="preserve"> 32.5% of women were reported to be smoking</w:t>
      </w:r>
      <w:r>
        <w:rPr>
          <w:rFonts w:ascii="Verdana" w:hAnsi="Verdana"/>
          <w:noProof/>
        </w:rPr>
        <w:t>[22]</w:t>
      </w:r>
      <w:r>
        <w:rPr>
          <w:rFonts w:ascii="Verdana" w:hAnsi="Verdana"/>
        </w:rPr>
        <w:t xml:space="preserve">. However, our synthetic estimates suggest that the expected prevalence may have been much lower (15.8% 95% CI 12.6-18.8), though the PCT still has one of the highest estimated smoking </w:t>
      </w:r>
      <w:proofErr w:type="spellStart"/>
      <w:r>
        <w:rPr>
          <w:rFonts w:ascii="Verdana" w:hAnsi="Verdana"/>
        </w:rPr>
        <w:t>prevalences</w:t>
      </w:r>
      <w:proofErr w:type="spellEnd"/>
      <w:r>
        <w:rPr>
          <w:rFonts w:ascii="Verdana" w:hAnsi="Verdana"/>
        </w:rPr>
        <w:t>. An</w:t>
      </w:r>
      <w:r w:rsidRPr="009426D7">
        <w:rPr>
          <w:rFonts w:ascii="Verdana" w:hAnsi="Verdana"/>
        </w:rPr>
        <w:t xml:space="preserve"> audit</w:t>
      </w:r>
      <w:r>
        <w:rPr>
          <w:rFonts w:ascii="Verdana" w:hAnsi="Verdana"/>
        </w:rPr>
        <w:t xml:space="preserve"> of data from Blackpool</w:t>
      </w:r>
      <w:r w:rsidRPr="009426D7">
        <w:rPr>
          <w:rFonts w:ascii="Verdana" w:hAnsi="Verdana"/>
        </w:rPr>
        <w:t xml:space="preserve"> showed substantial miss-reco</w:t>
      </w:r>
      <w:r>
        <w:rPr>
          <w:rFonts w:ascii="Verdana" w:hAnsi="Verdana"/>
        </w:rPr>
        <w:t xml:space="preserve">rding of women’s smoking </w:t>
      </w:r>
      <w:proofErr w:type="gramStart"/>
      <w:r>
        <w:rPr>
          <w:rFonts w:ascii="Verdana" w:hAnsi="Verdana"/>
        </w:rPr>
        <w:t>status</w:t>
      </w:r>
      <w:r>
        <w:rPr>
          <w:rFonts w:ascii="Verdana" w:hAnsi="Verdana"/>
          <w:noProof/>
        </w:rPr>
        <w:t>[</w:t>
      </w:r>
      <w:proofErr w:type="gramEnd"/>
      <w:r>
        <w:rPr>
          <w:rFonts w:ascii="Verdana" w:hAnsi="Verdana"/>
          <w:noProof/>
        </w:rPr>
        <w:t>23]</w:t>
      </w:r>
      <w:r w:rsidRPr="009426D7">
        <w:rPr>
          <w:rFonts w:ascii="Verdana" w:hAnsi="Verdana"/>
        </w:rPr>
        <w:t xml:space="preserve">. Discrepancies were attributed to midwives using data recorded in first trimester booking records to impute smoking status at delivery even though some women will have </w:t>
      </w:r>
      <w:proofErr w:type="gramStart"/>
      <w:r w:rsidRPr="009426D7">
        <w:rPr>
          <w:rFonts w:ascii="Verdana" w:hAnsi="Verdana"/>
        </w:rPr>
        <w:t>quit</w:t>
      </w:r>
      <w:r>
        <w:rPr>
          <w:rFonts w:ascii="Verdana" w:hAnsi="Verdana"/>
          <w:noProof/>
        </w:rPr>
        <w:t>[</w:t>
      </w:r>
      <w:proofErr w:type="gramEnd"/>
      <w:r>
        <w:rPr>
          <w:rFonts w:ascii="Verdana" w:hAnsi="Verdana"/>
          <w:noProof/>
        </w:rPr>
        <w:t>23]</w:t>
      </w:r>
      <w:r w:rsidRPr="009426D7">
        <w:rPr>
          <w:rFonts w:ascii="Verdana" w:hAnsi="Verdana"/>
        </w:rPr>
        <w:t xml:space="preserve">, midwives who smoked themselves </w:t>
      </w:r>
      <w:r>
        <w:rPr>
          <w:rFonts w:ascii="Verdana" w:hAnsi="Verdana"/>
        </w:rPr>
        <w:t>not following</w:t>
      </w:r>
      <w:r w:rsidRPr="009426D7">
        <w:rPr>
          <w:rFonts w:ascii="Verdana" w:hAnsi="Verdana"/>
        </w:rPr>
        <w:t xml:space="preserve"> recording guidelines</w:t>
      </w:r>
      <w:r>
        <w:rPr>
          <w:rFonts w:ascii="Verdana" w:hAnsi="Verdana"/>
          <w:noProof/>
        </w:rPr>
        <w:t>[23]</w:t>
      </w:r>
      <w:r>
        <w:rPr>
          <w:rFonts w:ascii="Verdana" w:hAnsi="Verdana"/>
        </w:rPr>
        <w:t xml:space="preserve"> and finding discussing smoking difficult</w:t>
      </w:r>
      <w:r>
        <w:rPr>
          <w:rFonts w:ascii="Verdana" w:hAnsi="Verdana"/>
          <w:noProof/>
        </w:rPr>
        <w:t>[4]</w:t>
      </w:r>
      <w:r>
        <w:rPr>
          <w:rFonts w:ascii="Verdana" w:hAnsi="Verdana"/>
        </w:rPr>
        <w:t>, variations in service provider priorities</w:t>
      </w:r>
      <w:r>
        <w:rPr>
          <w:rFonts w:ascii="Verdana" w:hAnsi="Verdana"/>
          <w:noProof/>
        </w:rPr>
        <w:t>[4]</w:t>
      </w:r>
      <w:r>
        <w:rPr>
          <w:rFonts w:ascii="Verdana" w:hAnsi="Verdana"/>
        </w:rPr>
        <w:t>, as well as women themselves failing to accurately report their smoking status</w:t>
      </w:r>
      <w:r>
        <w:rPr>
          <w:rFonts w:ascii="Verdana" w:hAnsi="Verdana"/>
          <w:noProof/>
        </w:rPr>
        <w:t>[4]</w:t>
      </w:r>
      <w:r>
        <w:rPr>
          <w:rFonts w:ascii="Verdana" w:hAnsi="Verdana"/>
        </w:rPr>
        <w:t xml:space="preserve">. These findings may, at least in part, explain the discrepancy between SATOD data and our synthetic estimates. The national estimate of smoking prevalence at delivery is higher from SATOD data than from the IFS, </w:t>
      </w:r>
      <w:r>
        <w:rPr>
          <w:rFonts w:ascii="Verdana" w:hAnsi="Verdana"/>
        </w:rPr>
        <w:lastRenderedPageBreak/>
        <w:t>with the difference being particularly marked in the North East and North West; this suggests that the discrepancies between our synthetic estimates and SATOD reflect differences in the data sources rather than issues with the synthetic estimation methodology. C</w:t>
      </w:r>
      <w:r w:rsidRPr="002071C0">
        <w:rPr>
          <w:rFonts w:ascii="Verdana" w:hAnsi="Verdana"/>
        </w:rPr>
        <w:t>rucially</w:t>
      </w:r>
      <w:r>
        <w:rPr>
          <w:rFonts w:ascii="Verdana" w:hAnsi="Verdana"/>
        </w:rPr>
        <w:t>,</w:t>
      </w:r>
      <w:r w:rsidRPr="002071C0">
        <w:rPr>
          <w:rFonts w:ascii="Verdana" w:hAnsi="Verdana"/>
        </w:rPr>
        <w:t xml:space="preserve"> however</w:t>
      </w:r>
      <w:r>
        <w:rPr>
          <w:rFonts w:ascii="Verdana" w:hAnsi="Verdana"/>
        </w:rPr>
        <w:t>,</w:t>
      </w:r>
      <w:r w:rsidRPr="002071C0">
        <w:rPr>
          <w:rFonts w:ascii="Verdana" w:hAnsi="Verdana"/>
        </w:rPr>
        <w:t xml:space="preserve"> our synthetic estimates represent an expected smoking</w:t>
      </w:r>
      <w:r>
        <w:rPr>
          <w:rFonts w:ascii="Verdana" w:hAnsi="Verdana"/>
        </w:rPr>
        <w:t xml:space="preserve"> </w:t>
      </w:r>
      <w:r w:rsidRPr="002071C0">
        <w:rPr>
          <w:rFonts w:ascii="Verdana" w:hAnsi="Verdana"/>
        </w:rPr>
        <w:t xml:space="preserve">prevalence and it remains possible that </w:t>
      </w:r>
      <w:r>
        <w:rPr>
          <w:rFonts w:ascii="Verdana" w:hAnsi="Verdana"/>
        </w:rPr>
        <w:t>high quality</w:t>
      </w:r>
      <w:r w:rsidRPr="002071C0">
        <w:rPr>
          <w:rFonts w:ascii="Verdana" w:hAnsi="Verdana"/>
        </w:rPr>
        <w:t xml:space="preserve"> local survey or administrative data can demonstrate higher or lower actual levels of smoking</w:t>
      </w:r>
      <w:r>
        <w:rPr>
          <w:rFonts w:ascii="Verdana" w:hAnsi="Verdana"/>
        </w:rPr>
        <w:t>.</w:t>
      </w:r>
    </w:p>
    <w:p w14:paraId="36A0B25F" w14:textId="77777777" w:rsidR="005F7B62" w:rsidRDefault="005F7B62" w:rsidP="007B4E2B">
      <w:pPr>
        <w:pStyle w:val="NoSpacing"/>
        <w:spacing w:line="480" w:lineRule="auto"/>
        <w:ind w:left="720"/>
        <w:jc w:val="both"/>
        <w:rPr>
          <w:rFonts w:ascii="Verdana" w:hAnsi="Verdana"/>
        </w:rPr>
      </w:pPr>
    </w:p>
    <w:p w14:paraId="4DE7AA9F" w14:textId="391D99D5" w:rsidR="005F7B62" w:rsidRPr="00905C02" w:rsidRDefault="005F7B62" w:rsidP="007B4E2B">
      <w:pPr>
        <w:pStyle w:val="NoSpacing"/>
        <w:spacing w:line="480" w:lineRule="auto"/>
        <w:jc w:val="both"/>
        <w:rPr>
          <w:rFonts w:ascii="Verdana" w:hAnsi="Verdana"/>
        </w:rPr>
      </w:pPr>
      <w:r>
        <w:rPr>
          <w:rFonts w:ascii="Verdana" w:hAnsi="Verdana"/>
        </w:rPr>
        <w:t xml:space="preserve">Caution is, however, needed when interpreting our synthetic estimates and their credible intervals and we acknowledge there are </w:t>
      </w:r>
      <w:r w:rsidRPr="00905C02">
        <w:rPr>
          <w:rFonts w:ascii="Verdana" w:hAnsi="Verdana"/>
        </w:rPr>
        <w:t xml:space="preserve">some limitations in our methods. The IFS, used to predict the probability of smoking according to women’s characteristics, asks mothers retrospectively about their smoking during pregnancy and there is no biochemical validation of this measure. </w:t>
      </w:r>
      <w:r w:rsidR="00E80FC7" w:rsidRPr="00905C02">
        <w:rPr>
          <w:rFonts w:ascii="Verdana" w:hAnsi="Verdana"/>
        </w:rPr>
        <w:t xml:space="preserve">Data from women aged 20-24 in the United States demonstrated that 26.4% of pregnant women identified as smokers based on serum cotinine levels did not disclose their smoking status in a face-to-face health survey </w:t>
      </w:r>
      <w:proofErr w:type="gramStart"/>
      <w:r w:rsidR="00E80FC7" w:rsidRPr="00905C02">
        <w:rPr>
          <w:rFonts w:ascii="Verdana" w:hAnsi="Verdana"/>
        </w:rPr>
        <w:t>interview[</w:t>
      </w:r>
      <w:proofErr w:type="gramEnd"/>
      <w:r w:rsidR="00E80FC7" w:rsidRPr="00905C02">
        <w:rPr>
          <w:rFonts w:ascii="Verdana" w:hAnsi="Verdana"/>
        </w:rPr>
        <w:t xml:space="preserve">24]. </w:t>
      </w:r>
      <w:r w:rsidRPr="00905C02">
        <w:rPr>
          <w:rFonts w:ascii="Verdana" w:hAnsi="Verdana"/>
        </w:rPr>
        <w:t xml:space="preserve">Although the IFS is an anonymous, online or postal questionnaire there may </w:t>
      </w:r>
      <w:r w:rsidR="00E80FC7" w:rsidRPr="00905C02">
        <w:rPr>
          <w:rFonts w:ascii="Verdana" w:hAnsi="Verdana"/>
        </w:rPr>
        <w:t xml:space="preserve">still </w:t>
      </w:r>
      <w:r w:rsidRPr="00905C02">
        <w:rPr>
          <w:rFonts w:ascii="Verdana" w:hAnsi="Verdana"/>
        </w:rPr>
        <w:t xml:space="preserve">be some bias in the reporting of smoking status; women may give what they deem to be the socially-acceptable response, or they simply might not accurately remember the timing of changes in their smoking status during pregnancy. </w:t>
      </w:r>
      <w:r w:rsidR="00F5247E" w:rsidRPr="00905C02">
        <w:rPr>
          <w:rFonts w:ascii="Verdana" w:hAnsi="Verdana"/>
        </w:rPr>
        <w:t xml:space="preserve"> </w:t>
      </w:r>
    </w:p>
    <w:p w14:paraId="0DC811A3" w14:textId="77777777" w:rsidR="006C5794" w:rsidRPr="00905C02" w:rsidRDefault="006C5794" w:rsidP="007B4E2B">
      <w:pPr>
        <w:pStyle w:val="NoSpacing"/>
        <w:spacing w:line="480" w:lineRule="auto"/>
        <w:jc w:val="both"/>
        <w:rPr>
          <w:rFonts w:ascii="Verdana" w:hAnsi="Verdana"/>
        </w:rPr>
      </w:pPr>
    </w:p>
    <w:p w14:paraId="4F594F7D" w14:textId="25A4AA14" w:rsidR="006C5794" w:rsidRPr="00905C02" w:rsidRDefault="006C5794" w:rsidP="007B4E2B">
      <w:pPr>
        <w:pStyle w:val="NoSpacing"/>
        <w:spacing w:line="480" w:lineRule="auto"/>
        <w:jc w:val="both"/>
        <w:rPr>
          <w:rFonts w:ascii="Verdana" w:hAnsi="Verdana"/>
        </w:rPr>
      </w:pPr>
      <w:r w:rsidRPr="00905C02">
        <w:rPr>
          <w:rFonts w:ascii="Verdana" w:hAnsi="Verdana"/>
        </w:rPr>
        <w:t>Just three variables, age group, deprivati</w:t>
      </w:r>
      <w:r w:rsidR="00024219" w:rsidRPr="00905C02">
        <w:rPr>
          <w:rFonts w:ascii="Verdana" w:hAnsi="Verdana"/>
        </w:rPr>
        <w:t xml:space="preserve">on, and ethnicity, were included in the multilevel models used to </w:t>
      </w:r>
      <w:r w:rsidRPr="00905C02">
        <w:rPr>
          <w:rFonts w:ascii="Verdana" w:hAnsi="Verdana"/>
        </w:rPr>
        <w:t>derive the synthetic estimates</w:t>
      </w:r>
      <w:r w:rsidR="00024219" w:rsidRPr="00905C02">
        <w:rPr>
          <w:rFonts w:ascii="Verdana" w:hAnsi="Verdana"/>
        </w:rPr>
        <w:t xml:space="preserve"> of smoking prevalence</w:t>
      </w:r>
      <w:r w:rsidRPr="00905C02">
        <w:rPr>
          <w:rFonts w:ascii="Verdana" w:hAnsi="Verdana"/>
        </w:rPr>
        <w:t>.</w:t>
      </w:r>
      <w:r w:rsidR="00B04E1E" w:rsidRPr="00905C02">
        <w:rPr>
          <w:rFonts w:ascii="Verdana" w:hAnsi="Verdana"/>
        </w:rPr>
        <w:t xml:space="preserve"> Small area estimates of smoking in the general population have considered other variables such as tenure, car ownership, unemployment and </w:t>
      </w:r>
      <w:proofErr w:type="gramStart"/>
      <w:r w:rsidR="00B04E1E" w:rsidRPr="00905C02">
        <w:rPr>
          <w:rFonts w:ascii="Verdana" w:hAnsi="Verdana"/>
        </w:rPr>
        <w:t>overcrowding[</w:t>
      </w:r>
      <w:proofErr w:type="gramEnd"/>
      <w:r w:rsidR="00B04E1E" w:rsidRPr="00905C02">
        <w:rPr>
          <w:rFonts w:ascii="Verdana" w:hAnsi="Verdana"/>
        </w:rPr>
        <w:t>8].</w:t>
      </w:r>
      <w:r w:rsidR="00024219" w:rsidRPr="00905C02">
        <w:rPr>
          <w:rFonts w:ascii="Verdana" w:hAnsi="Verdana"/>
        </w:rPr>
        <w:t xml:space="preserve"> </w:t>
      </w:r>
      <w:r w:rsidR="000B1118" w:rsidRPr="00905C02">
        <w:rPr>
          <w:rFonts w:ascii="Verdana" w:hAnsi="Verdana"/>
        </w:rPr>
        <w:lastRenderedPageBreak/>
        <w:t xml:space="preserve">Data on </w:t>
      </w:r>
      <w:r w:rsidR="00B04E1E" w:rsidRPr="00905C02">
        <w:rPr>
          <w:rFonts w:ascii="Verdana" w:hAnsi="Verdana"/>
        </w:rPr>
        <w:t xml:space="preserve">these, plus </w:t>
      </w:r>
      <w:r w:rsidR="000B1118" w:rsidRPr="00905C02">
        <w:rPr>
          <w:rFonts w:ascii="Verdana" w:hAnsi="Verdana"/>
        </w:rPr>
        <w:t>o</w:t>
      </w:r>
      <w:r w:rsidR="00024219" w:rsidRPr="00905C02">
        <w:rPr>
          <w:rFonts w:ascii="Verdana" w:hAnsi="Verdana"/>
        </w:rPr>
        <w:t>ther drivers of smoking behaviour</w:t>
      </w:r>
      <w:r w:rsidR="000B1118" w:rsidRPr="00905C02">
        <w:rPr>
          <w:rFonts w:ascii="Verdana" w:hAnsi="Verdana"/>
        </w:rPr>
        <w:t xml:space="preserve"> during pregnancy, such as parity and partner smoking, may have helped to improve the synthetic estimates. However, </w:t>
      </w:r>
      <w:r w:rsidR="006E763B" w:rsidRPr="00905C02">
        <w:rPr>
          <w:rFonts w:ascii="Verdana" w:hAnsi="Verdana"/>
        </w:rPr>
        <w:t xml:space="preserve">such data were either not available, or not available in a comparable format, from </w:t>
      </w:r>
      <w:r w:rsidR="000B1118" w:rsidRPr="00905C02">
        <w:rPr>
          <w:rFonts w:ascii="Verdana" w:hAnsi="Verdana"/>
        </w:rPr>
        <w:t>both in the IFS and HES datasets.</w:t>
      </w:r>
    </w:p>
    <w:p w14:paraId="4B8973DF" w14:textId="77777777" w:rsidR="005F7B62" w:rsidRPr="00905C02" w:rsidRDefault="005F7B62" w:rsidP="007B4E2B">
      <w:pPr>
        <w:pStyle w:val="NoSpacing"/>
        <w:spacing w:line="480" w:lineRule="auto"/>
        <w:jc w:val="both"/>
        <w:rPr>
          <w:rFonts w:ascii="Verdana" w:hAnsi="Verdana"/>
        </w:rPr>
      </w:pPr>
    </w:p>
    <w:p w14:paraId="732F113E" w14:textId="77777777" w:rsidR="005F7B62" w:rsidRPr="00905C02" w:rsidRDefault="005F7B62" w:rsidP="007B4E2B">
      <w:pPr>
        <w:pStyle w:val="NoSpacing"/>
        <w:spacing w:line="480" w:lineRule="auto"/>
        <w:jc w:val="both"/>
        <w:rPr>
          <w:rFonts w:ascii="Verdana" w:hAnsi="Verdana"/>
        </w:rPr>
      </w:pPr>
      <w:r w:rsidRPr="00905C02">
        <w:rPr>
          <w:rFonts w:ascii="Verdana" w:hAnsi="Verdana"/>
        </w:rPr>
        <w:t xml:space="preserve">Our use of HES </w:t>
      </w:r>
      <w:proofErr w:type="gramStart"/>
      <w:r w:rsidRPr="00905C02">
        <w:rPr>
          <w:rFonts w:ascii="Verdana" w:hAnsi="Verdana"/>
        </w:rPr>
        <w:t>data which describe deliveries in NHS hospitals</w:t>
      </w:r>
      <w:proofErr w:type="gramEnd"/>
      <w:r w:rsidRPr="00905C02">
        <w:rPr>
          <w:rFonts w:ascii="Verdana" w:hAnsi="Verdana"/>
        </w:rPr>
        <w:t xml:space="preserve"> will have underestimated the number of pregnancies in an area</w:t>
      </w:r>
      <w:r>
        <w:rPr>
          <w:rFonts w:ascii="Verdana" w:hAnsi="Verdana"/>
        </w:rPr>
        <w:t xml:space="preserve"> in a year and thus the number of women who may have smoked. Approximately 3% of all live births registered in England in 2010 occurred outside of NHS establishments, and this varied from 1.4% in the north east to 4% in the eastern </w:t>
      </w:r>
      <w:proofErr w:type="gramStart"/>
      <w:r>
        <w:rPr>
          <w:rFonts w:ascii="Verdana" w:hAnsi="Verdana"/>
        </w:rPr>
        <w:t>region</w:t>
      </w:r>
      <w:r>
        <w:rPr>
          <w:rFonts w:ascii="Verdana" w:hAnsi="Verdana"/>
          <w:noProof/>
        </w:rPr>
        <w:t>[</w:t>
      </w:r>
      <w:proofErr w:type="gramEnd"/>
      <w:r>
        <w:rPr>
          <w:rFonts w:ascii="Verdana" w:hAnsi="Verdana"/>
          <w:noProof/>
        </w:rPr>
        <w:t>2</w:t>
      </w:r>
      <w:r w:rsidR="00E80FC7">
        <w:rPr>
          <w:rFonts w:ascii="Verdana" w:hAnsi="Verdana"/>
          <w:noProof/>
        </w:rPr>
        <w:t>5</w:t>
      </w:r>
      <w:r>
        <w:rPr>
          <w:rFonts w:ascii="Verdana" w:hAnsi="Verdana"/>
          <w:noProof/>
        </w:rPr>
        <w:t>]</w:t>
      </w:r>
      <w:r>
        <w:rPr>
          <w:rFonts w:ascii="Verdana" w:hAnsi="Verdana"/>
        </w:rPr>
        <w:t xml:space="preserve">. The incidence of non-hospital birth also increases with maternal age. For example, 1.3% of deliveries where the mother is aged </w:t>
      </w:r>
      <w:proofErr w:type="gramStart"/>
      <w:r>
        <w:rPr>
          <w:rFonts w:ascii="Verdana" w:hAnsi="Verdana"/>
        </w:rPr>
        <w:t>under</w:t>
      </w:r>
      <w:proofErr w:type="gramEnd"/>
      <w:r>
        <w:rPr>
          <w:rFonts w:ascii="Verdana" w:hAnsi="Verdana"/>
        </w:rPr>
        <w:t xml:space="preserve"> 20 occurred outside of hospital in 2010, rising to 3.9% in women age 30+. The prevalence of smoking reduces with increasing maternal age and therefore synthetic estimates based on HES data may have over-estimated smoking prevalence, more so in regions </w:t>
      </w:r>
      <w:r w:rsidRPr="00905C02">
        <w:rPr>
          <w:rFonts w:ascii="Verdana" w:hAnsi="Verdana"/>
        </w:rPr>
        <w:t xml:space="preserve">where a higher proportion of births occur outside of NHS establishments. The use of HES data will also fail to capture </w:t>
      </w:r>
      <w:proofErr w:type="gramStart"/>
      <w:r w:rsidRPr="00905C02">
        <w:rPr>
          <w:rFonts w:ascii="Verdana" w:hAnsi="Verdana"/>
        </w:rPr>
        <w:t>pregnancies which</w:t>
      </w:r>
      <w:proofErr w:type="gramEnd"/>
      <w:r w:rsidRPr="00905C02">
        <w:rPr>
          <w:rFonts w:ascii="Verdana" w:hAnsi="Verdana"/>
        </w:rPr>
        <w:t xml:space="preserve"> end in miscarriage (approximately one in four pregnancies) though stillbirths are captured. For some of these women smoking would have contributed to their pregnancy </w:t>
      </w:r>
      <w:proofErr w:type="gramStart"/>
      <w:r w:rsidRPr="00905C02">
        <w:rPr>
          <w:rFonts w:ascii="Verdana" w:hAnsi="Verdana"/>
        </w:rPr>
        <w:t>loss</w:t>
      </w:r>
      <w:r w:rsidRPr="00905C02">
        <w:rPr>
          <w:rFonts w:ascii="Verdana" w:hAnsi="Verdana"/>
          <w:noProof/>
        </w:rPr>
        <w:t>[</w:t>
      </w:r>
      <w:proofErr w:type="gramEnd"/>
      <w:r w:rsidRPr="00905C02">
        <w:rPr>
          <w:rFonts w:ascii="Verdana" w:hAnsi="Verdana"/>
          <w:noProof/>
        </w:rPr>
        <w:t>2</w:t>
      </w:r>
      <w:r w:rsidR="00E80FC7" w:rsidRPr="00905C02">
        <w:rPr>
          <w:rFonts w:ascii="Verdana" w:hAnsi="Verdana"/>
          <w:noProof/>
        </w:rPr>
        <w:t>6</w:t>
      </w:r>
      <w:r w:rsidRPr="00905C02">
        <w:rPr>
          <w:rFonts w:ascii="Verdana" w:hAnsi="Verdana"/>
          <w:noProof/>
        </w:rPr>
        <w:t>]</w:t>
      </w:r>
      <w:r w:rsidRPr="00905C02">
        <w:rPr>
          <w:rFonts w:ascii="Verdana" w:hAnsi="Verdana"/>
        </w:rPr>
        <w:t>, thus our methods will under-count an important group of women.</w:t>
      </w:r>
    </w:p>
    <w:p w14:paraId="6FB5728E" w14:textId="77777777" w:rsidR="005F7B62" w:rsidRPr="00905C02" w:rsidRDefault="005F7B62" w:rsidP="007B4E2B">
      <w:pPr>
        <w:pStyle w:val="NoSpacing"/>
        <w:spacing w:line="480" w:lineRule="auto"/>
        <w:jc w:val="both"/>
        <w:rPr>
          <w:rFonts w:ascii="Verdana" w:hAnsi="Verdana"/>
        </w:rPr>
      </w:pPr>
    </w:p>
    <w:p w14:paraId="1EF89551" w14:textId="77777777" w:rsidR="005F7B62" w:rsidRDefault="005F7B62" w:rsidP="007B4E2B">
      <w:pPr>
        <w:pStyle w:val="NoSpacing"/>
        <w:spacing w:line="480" w:lineRule="auto"/>
        <w:jc w:val="both"/>
        <w:rPr>
          <w:rFonts w:ascii="Verdana" w:hAnsi="Verdana"/>
        </w:rPr>
      </w:pPr>
      <w:r w:rsidRPr="00905C02">
        <w:rPr>
          <w:rFonts w:ascii="Verdana" w:hAnsi="Verdana"/>
        </w:rPr>
        <w:t>The PCTs used as the geographical area for synthetic estimation here</w:t>
      </w:r>
      <w:r>
        <w:rPr>
          <w:rFonts w:ascii="Verdana" w:hAnsi="Verdana"/>
        </w:rPr>
        <w:t xml:space="preserve"> were abolished in 2013 and replaced by 211 Clinical Commissioning Groups (CCGs) each serving an adult population of between 50,000 and 725,000 </w:t>
      </w:r>
      <w:proofErr w:type="gramStart"/>
      <w:r>
        <w:rPr>
          <w:rFonts w:ascii="Verdana" w:hAnsi="Verdana"/>
        </w:rPr>
        <w:t>people</w:t>
      </w:r>
      <w:r>
        <w:rPr>
          <w:rFonts w:ascii="Verdana" w:hAnsi="Verdana"/>
          <w:noProof/>
        </w:rPr>
        <w:t>[</w:t>
      </w:r>
      <w:proofErr w:type="gramEnd"/>
      <w:r>
        <w:rPr>
          <w:rFonts w:ascii="Verdana" w:hAnsi="Verdana"/>
          <w:noProof/>
        </w:rPr>
        <w:t>2</w:t>
      </w:r>
      <w:r w:rsidR="00E80FC7">
        <w:rPr>
          <w:rFonts w:ascii="Verdana" w:hAnsi="Verdana"/>
          <w:noProof/>
        </w:rPr>
        <w:t>7</w:t>
      </w:r>
      <w:r>
        <w:rPr>
          <w:rFonts w:ascii="Verdana" w:hAnsi="Verdana"/>
          <w:noProof/>
        </w:rPr>
        <w:t>]</w:t>
      </w:r>
      <w:r>
        <w:rPr>
          <w:rFonts w:ascii="Verdana" w:hAnsi="Verdana"/>
        </w:rPr>
        <w:t xml:space="preserve">. The most recent IFS data available at the time of this study were from 2010 and thus we chose to use HES data from the 2010/11 financial year. It is possible </w:t>
      </w:r>
      <w:r>
        <w:rPr>
          <w:rFonts w:ascii="Verdana" w:hAnsi="Verdana"/>
        </w:rPr>
        <w:lastRenderedPageBreak/>
        <w:t xml:space="preserve">that the relationship between women’s characteristics and their smoking behaviour may change over time, between releases of the quinquennial IFS. However, with future releases of the IFS, and more recent HES data, the synthetic estimation process could be repeated to produce expected estimates of smoking prevalence by CCG, or a parameter for trend over time could be incorporated into the modelling process. Local-level data such as these might be useful to monitor the impact of smoking cessation interventions or </w:t>
      </w:r>
      <w:proofErr w:type="gramStart"/>
      <w:r>
        <w:rPr>
          <w:rFonts w:ascii="Verdana" w:hAnsi="Verdana"/>
        </w:rPr>
        <w:t>services</w:t>
      </w:r>
      <w:r>
        <w:rPr>
          <w:rFonts w:ascii="Verdana" w:hAnsi="Verdana"/>
          <w:noProof/>
        </w:rPr>
        <w:t>[</w:t>
      </w:r>
      <w:proofErr w:type="gramEnd"/>
      <w:r>
        <w:rPr>
          <w:rFonts w:ascii="Verdana" w:hAnsi="Verdana"/>
          <w:noProof/>
        </w:rPr>
        <w:t>7]</w:t>
      </w:r>
      <w:r>
        <w:rPr>
          <w:rFonts w:ascii="Verdana" w:hAnsi="Verdana"/>
        </w:rPr>
        <w:t>, for example the NHS Stop Smoking Services for Pregnancy.</w:t>
      </w:r>
    </w:p>
    <w:p w14:paraId="41851546" w14:textId="77777777" w:rsidR="005F7B62" w:rsidRDefault="005F7B62" w:rsidP="007B4E2B">
      <w:pPr>
        <w:pStyle w:val="NoSpacing"/>
        <w:spacing w:line="480" w:lineRule="auto"/>
        <w:jc w:val="both"/>
        <w:rPr>
          <w:rFonts w:ascii="Verdana" w:hAnsi="Verdana"/>
        </w:rPr>
      </w:pPr>
    </w:p>
    <w:p w14:paraId="298DF7E5" w14:textId="77777777" w:rsidR="005F7B62" w:rsidRDefault="005F7B62" w:rsidP="007B4E2B">
      <w:pPr>
        <w:pStyle w:val="NoSpacing"/>
        <w:spacing w:line="480" w:lineRule="auto"/>
        <w:jc w:val="both"/>
        <w:rPr>
          <w:rFonts w:ascii="Verdana" w:hAnsi="Verdana"/>
        </w:rPr>
      </w:pPr>
      <w:r>
        <w:rPr>
          <w:rFonts w:ascii="Verdana" w:hAnsi="Verdana"/>
        </w:rPr>
        <w:t>On 1</w:t>
      </w:r>
      <w:r w:rsidRPr="00C874C4">
        <w:rPr>
          <w:rFonts w:ascii="Verdana" w:hAnsi="Verdana"/>
          <w:vertAlign w:val="superscript"/>
        </w:rPr>
        <w:t>st</w:t>
      </w:r>
      <w:r>
        <w:rPr>
          <w:rFonts w:ascii="Verdana" w:hAnsi="Verdana"/>
        </w:rPr>
        <w:t xml:space="preserve"> November 2014, new information standards were introduced requiring all NHS-commissioned maternity services in England to routinely collect self-reported information on smoking status and daily cigarette consumption from pregnant women attending their booking appointment</w:t>
      </w:r>
      <w:hyperlink w:anchor="_ENREF_21" w:tooltip="Health and Social Care Information Centre,  #1246" w:history="1"/>
      <w:r>
        <w:rPr>
          <w:rFonts w:ascii="Verdana" w:hAnsi="Verdana"/>
          <w:noProof/>
        </w:rPr>
        <w:t>[5]</w:t>
      </w:r>
      <w:r>
        <w:rPr>
          <w:rFonts w:ascii="Verdana" w:hAnsi="Verdana"/>
        </w:rPr>
        <w:t xml:space="preserve">. Data on women’s smoking status at the time of booking have been routinely collected in Scotland for several years as part of the Scottish Morbidity </w:t>
      </w:r>
      <w:proofErr w:type="gramStart"/>
      <w:r>
        <w:rPr>
          <w:rFonts w:ascii="Verdana" w:hAnsi="Verdana"/>
        </w:rPr>
        <w:t>Record</w:t>
      </w:r>
      <w:r>
        <w:rPr>
          <w:rFonts w:ascii="Verdana" w:hAnsi="Verdana"/>
          <w:noProof/>
        </w:rPr>
        <w:t>[</w:t>
      </w:r>
      <w:proofErr w:type="gramEnd"/>
      <w:r>
        <w:rPr>
          <w:rFonts w:ascii="Verdana" w:hAnsi="Verdana"/>
          <w:noProof/>
        </w:rPr>
        <w:t>2</w:t>
      </w:r>
      <w:r w:rsidR="00E80FC7">
        <w:rPr>
          <w:rFonts w:ascii="Verdana" w:hAnsi="Verdana"/>
          <w:noProof/>
        </w:rPr>
        <w:t>8</w:t>
      </w:r>
      <w:r>
        <w:rPr>
          <w:rFonts w:ascii="Verdana" w:hAnsi="Verdana"/>
          <w:noProof/>
        </w:rPr>
        <w:t>]</w:t>
      </w:r>
      <w:r>
        <w:rPr>
          <w:rFonts w:ascii="Verdana" w:hAnsi="Verdana"/>
        </w:rPr>
        <w:t xml:space="preserve">. At present it is not possible to accurately ascertain smoking status at the time of booking from IFS data – the discrete response categories give women the option to report quitting on confirmation of pregnancy, which may have been several weeks before the booking appointment, or quitting, at an unspecified time, later in pregnancy. Synthetic estimation could, however, be used to derive local-level estimates for the expected number of smokers quitting on confirmation of pregnancy and later, to complement routinely-collected data on smoking at booking and help validate these. The flexibility of the synthetic estimation method means estimates can be derived for bespoke geographical areas, or population sub-groups within areas, for which routinely-collected data may not </w:t>
      </w:r>
      <w:r>
        <w:rPr>
          <w:rFonts w:ascii="Verdana" w:hAnsi="Verdana"/>
        </w:rPr>
        <w:lastRenderedPageBreak/>
        <w:t xml:space="preserve">be easily available. Such flexibility may be useful to enable monitoring of health-related inequalities between and within </w:t>
      </w:r>
      <w:proofErr w:type="gramStart"/>
      <w:r>
        <w:rPr>
          <w:rFonts w:ascii="Verdana" w:hAnsi="Verdana"/>
        </w:rPr>
        <w:t>areas</w:t>
      </w:r>
      <w:r>
        <w:rPr>
          <w:rFonts w:ascii="Verdana" w:hAnsi="Verdana"/>
          <w:noProof/>
        </w:rPr>
        <w:t>[</w:t>
      </w:r>
      <w:proofErr w:type="gramEnd"/>
      <w:r>
        <w:rPr>
          <w:rFonts w:ascii="Verdana" w:hAnsi="Verdana"/>
          <w:noProof/>
        </w:rPr>
        <w:t>7]</w:t>
      </w:r>
      <w:r>
        <w:rPr>
          <w:rFonts w:ascii="Verdana" w:hAnsi="Verdana"/>
        </w:rPr>
        <w:t xml:space="preserve">. </w:t>
      </w:r>
    </w:p>
    <w:p w14:paraId="466BE163" w14:textId="77777777" w:rsidR="005F7B62" w:rsidRDefault="005F7B62" w:rsidP="007B4E2B">
      <w:pPr>
        <w:pStyle w:val="NoSpacing"/>
        <w:spacing w:line="480" w:lineRule="auto"/>
        <w:jc w:val="both"/>
        <w:rPr>
          <w:rFonts w:ascii="Verdana" w:hAnsi="Verdana"/>
        </w:rPr>
      </w:pPr>
    </w:p>
    <w:p w14:paraId="33B25A99" w14:textId="77777777" w:rsidR="005F7B62" w:rsidRDefault="005F7B62" w:rsidP="007B4E2B">
      <w:pPr>
        <w:pStyle w:val="NoSpacing"/>
        <w:spacing w:line="480" w:lineRule="auto"/>
        <w:jc w:val="both"/>
        <w:rPr>
          <w:rFonts w:ascii="Verdana" w:hAnsi="Verdana"/>
        </w:rPr>
      </w:pPr>
      <w:r>
        <w:rPr>
          <w:rFonts w:ascii="Verdana" w:hAnsi="Verdana"/>
        </w:rPr>
        <w:t>This approach to estimating the prevalence of smoking at specific time points or ever during pregnancy for small geographical areas is potentially quicker and cheaper than collecting survey data, and if accepted as valid, these figures could be used to identify areas with high or unchanging smoking prevalence and improve the commissioning of targeted services to help women to quit.</w:t>
      </w:r>
    </w:p>
    <w:p w14:paraId="5C4A6BEF" w14:textId="77777777" w:rsidR="005F7B62" w:rsidRDefault="005F7B62" w:rsidP="007B4E2B">
      <w:pPr>
        <w:pStyle w:val="NoSpacing"/>
        <w:spacing w:line="480" w:lineRule="auto"/>
        <w:jc w:val="both"/>
        <w:rPr>
          <w:rFonts w:ascii="Verdana" w:hAnsi="Verdana"/>
        </w:rPr>
      </w:pPr>
    </w:p>
    <w:p w14:paraId="2E1B8D30" w14:textId="77777777" w:rsidR="005F7B62" w:rsidRPr="008D6CDD" w:rsidRDefault="005F7B62" w:rsidP="007B4E2B">
      <w:pPr>
        <w:pStyle w:val="NoSpacing"/>
        <w:spacing w:line="480" w:lineRule="auto"/>
        <w:jc w:val="both"/>
        <w:rPr>
          <w:rFonts w:ascii="Verdana" w:hAnsi="Verdana"/>
          <w:b/>
        </w:rPr>
      </w:pPr>
      <w:r w:rsidRPr="008D6CDD">
        <w:rPr>
          <w:rFonts w:ascii="Verdana" w:hAnsi="Verdana"/>
          <w:b/>
        </w:rPr>
        <w:t>List of abbreviations:</w:t>
      </w:r>
    </w:p>
    <w:p w14:paraId="72042A59" w14:textId="77777777" w:rsidR="005F7B62" w:rsidRDefault="005F7B62" w:rsidP="007B4E2B">
      <w:pPr>
        <w:pStyle w:val="NoSpacing"/>
        <w:spacing w:line="480" w:lineRule="auto"/>
        <w:jc w:val="both"/>
        <w:rPr>
          <w:rFonts w:ascii="Verdana" w:hAnsi="Verdana"/>
        </w:rPr>
      </w:pPr>
      <w:r>
        <w:rPr>
          <w:rFonts w:ascii="Verdana" w:hAnsi="Verdana"/>
        </w:rPr>
        <w:t>ESS: Estimated Sample Size</w:t>
      </w:r>
    </w:p>
    <w:p w14:paraId="24D99637" w14:textId="77777777" w:rsidR="005F7B62" w:rsidRDefault="005F7B62" w:rsidP="007B4E2B">
      <w:pPr>
        <w:pStyle w:val="NoSpacing"/>
        <w:spacing w:line="480" w:lineRule="auto"/>
        <w:jc w:val="both"/>
        <w:rPr>
          <w:rFonts w:ascii="Verdana" w:hAnsi="Verdana"/>
        </w:rPr>
      </w:pPr>
      <w:r>
        <w:rPr>
          <w:rFonts w:ascii="Verdana" w:hAnsi="Verdana"/>
        </w:rPr>
        <w:t>HES: Hospital Episode Statistics</w:t>
      </w:r>
    </w:p>
    <w:p w14:paraId="4A647573" w14:textId="77777777" w:rsidR="005F7B62" w:rsidRDefault="005F7B62" w:rsidP="007B4E2B">
      <w:pPr>
        <w:pStyle w:val="NoSpacing"/>
        <w:spacing w:line="480" w:lineRule="auto"/>
        <w:jc w:val="both"/>
        <w:rPr>
          <w:rFonts w:ascii="Verdana" w:hAnsi="Verdana"/>
        </w:rPr>
      </w:pPr>
      <w:r>
        <w:rPr>
          <w:rFonts w:ascii="Verdana" w:hAnsi="Verdana"/>
        </w:rPr>
        <w:t>IFS: Infant Feeding Survey</w:t>
      </w:r>
    </w:p>
    <w:p w14:paraId="0AFAA2D5" w14:textId="77777777" w:rsidR="005F7B62" w:rsidRDefault="005F7B62" w:rsidP="007B4E2B">
      <w:pPr>
        <w:pStyle w:val="NoSpacing"/>
        <w:spacing w:line="480" w:lineRule="auto"/>
        <w:jc w:val="both"/>
        <w:rPr>
          <w:rFonts w:ascii="Verdana" w:hAnsi="Verdana"/>
        </w:rPr>
      </w:pPr>
      <w:r>
        <w:rPr>
          <w:rFonts w:ascii="Verdana" w:hAnsi="Verdana"/>
        </w:rPr>
        <w:t>IGLS: Iterative Generalised Least Squares</w:t>
      </w:r>
    </w:p>
    <w:p w14:paraId="4C4587FD" w14:textId="77777777" w:rsidR="005F7B62" w:rsidRDefault="005F7B62" w:rsidP="007B4E2B">
      <w:pPr>
        <w:pStyle w:val="NoSpacing"/>
        <w:spacing w:line="480" w:lineRule="auto"/>
        <w:jc w:val="both"/>
        <w:rPr>
          <w:rFonts w:ascii="Verdana" w:hAnsi="Verdana"/>
        </w:rPr>
      </w:pPr>
      <w:r>
        <w:rPr>
          <w:rFonts w:ascii="Verdana" w:hAnsi="Verdana"/>
        </w:rPr>
        <w:t xml:space="preserve">IMD: Index of Multiple </w:t>
      </w:r>
      <w:proofErr w:type="gramStart"/>
      <w:r>
        <w:rPr>
          <w:rFonts w:ascii="Verdana" w:hAnsi="Verdana"/>
        </w:rPr>
        <w:t>Deprivation</w:t>
      </w:r>
      <w:proofErr w:type="gramEnd"/>
    </w:p>
    <w:p w14:paraId="227EE11C" w14:textId="77777777" w:rsidR="005F7B62" w:rsidRDefault="005F7B62" w:rsidP="007B4E2B">
      <w:pPr>
        <w:pStyle w:val="NoSpacing"/>
        <w:spacing w:line="480" w:lineRule="auto"/>
        <w:jc w:val="both"/>
        <w:rPr>
          <w:rFonts w:ascii="Verdana" w:hAnsi="Verdana"/>
        </w:rPr>
      </w:pPr>
      <w:r>
        <w:rPr>
          <w:rFonts w:ascii="Verdana" w:hAnsi="Verdana"/>
        </w:rPr>
        <w:t>LSOA: Lower Super Output Area</w:t>
      </w:r>
    </w:p>
    <w:p w14:paraId="788EADBC" w14:textId="77777777" w:rsidR="005F7B62" w:rsidRDefault="005F7B62" w:rsidP="007B4E2B">
      <w:pPr>
        <w:pStyle w:val="NoSpacing"/>
        <w:spacing w:line="480" w:lineRule="auto"/>
        <w:jc w:val="both"/>
        <w:rPr>
          <w:rFonts w:ascii="Verdana" w:hAnsi="Verdana"/>
        </w:rPr>
      </w:pPr>
      <w:r>
        <w:rPr>
          <w:rFonts w:ascii="Verdana" w:hAnsi="Verdana"/>
        </w:rPr>
        <w:t xml:space="preserve">MCMC: Markov Chain Monte Carlo </w:t>
      </w:r>
    </w:p>
    <w:p w14:paraId="14ABF8D7" w14:textId="77777777" w:rsidR="005F7B62" w:rsidRDefault="005F7B62" w:rsidP="007B4E2B">
      <w:pPr>
        <w:pStyle w:val="NoSpacing"/>
        <w:spacing w:line="480" w:lineRule="auto"/>
        <w:jc w:val="both"/>
        <w:rPr>
          <w:rFonts w:ascii="Verdana" w:hAnsi="Verdana"/>
        </w:rPr>
      </w:pPr>
      <w:r>
        <w:rPr>
          <w:rFonts w:ascii="Verdana" w:hAnsi="Verdana"/>
        </w:rPr>
        <w:t>NHS: National Health Service</w:t>
      </w:r>
    </w:p>
    <w:p w14:paraId="2476072E" w14:textId="77777777" w:rsidR="005F7B62" w:rsidRDefault="005F7B62" w:rsidP="007B4E2B">
      <w:pPr>
        <w:pStyle w:val="NoSpacing"/>
        <w:spacing w:line="480" w:lineRule="auto"/>
        <w:jc w:val="both"/>
        <w:rPr>
          <w:rFonts w:ascii="Verdana" w:hAnsi="Verdana"/>
        </w:rPr>
      </w:pPr>
      <w:r>
        <w:rPr>
          <w:rFonts w:ascii="Verdana" w:hAnsi="Verdana"/>
        </w:rPr>
        <w:t>PCT: Primary Care Trust</w:t>
      </w:r>
    </w:p>
    <w:p w14:paraId="5EFE3697" w14:textId="77777777" w:rsidR="005F7B62" w:rsidRDefault="005F7B62" w:rsidP="007B4E2B">
      <w:pPr>
        <w:pStyle w:val="NoSpacing"/>
        <w:spacing w:line="480" w:lineRule="auto"/>
        <w:jc w:val="both"/>
        <w:rPr>
          <w:rFonts w:ascii="Verdana" w:hAnsi="Verdana"/>
        </w:rPr>
      </w:pPr>
      <w:r>
        <w:rPr>
          <w:rFonts w:ascii="Verdana" w:hAnsi="Verdana"/>
        </w:rPr>
        <w:t>SATOD: Smoking At Time of Delivery</w:t>
      </w:r>
    </w:p>
    <w:p w14:paraId="5981389D" w14:textId="77777777" w:rsidR="005F7B62" w:rsidRDefault="005F7B62" w:rsidP="007B4E2B">
      <w:pPr>
        <w:pStyle w:val="NoSpacing"/>
        <w:spacing w:line="480" w:lineRule="auto"/>
        <w:jc w:val="both"/>
        <w:rPr>
          <w:rFonts w:ascii="Verdana" w:hAnsi="Verdana"/>
        </w:rPr>
      </w:pPr>
      <w:r>
        <w:rPr>
          <w:rFonts w:ascii="Verdana" w:hAnsi="Verdana"/>
        </w:rPr>
        <w:t>SSSP: Stop Smoking Service for Pregnancy</w:t>
      </w:r>
    </w:p>
    <w:p w14:paraId="4D65BF3E" w14:textId="77777777" w:rsidR="005F7B62" w:rsidRDefault="005F7B62" w:rsidP="007B4E2B">
      <w:pPr>
        <w:pStyle w:val="NoSpacing"/>
        <w:spacing w:line="480" w:lineRule="auto"/>
        <w:jc w:val="both"/>
        <w:rPr>
          <w:rFonts w:ascii="Verdana" w:hAnsi="Verdana"/>
        </w:rPr>
      </w:pPr>
    </w:p>
    <w:p w14:paraId="5366900E" w14:textId="77777777" w:rsidR="005F7B62" w:rsidRDefault="005F7B62" w:rsidP="007B4E2B">
      <w:pPr>
        <w:pStyle w:val="NoSpacing"/>
        <w:spacing w:line="480" w:lineRule="auto"/>
        <w:jc w:val="both"/>
        <w:rPr>
          <w:rFonts w:ascii="Verdana" w:hAnsi="Verdana"/>
        </w:rPr>
      </w:pPr>
    </w:p>
    <w:p w14:paraId="20B13D75" w14:textId="77777777" w:rsidR="005F7B62" w:rsidRPr="00943A10" w:rsidRDefault="005F7B62" w:rsidP="007B4E2B">
      <w:pPr>
        <w:pStyle w:val="NoSpacing"/>
        <w:spacing w:line="480" w:lineRule="auto"/>
        <w:jc w:val="both"/>
        <w:rPr>
          <w:rFonts w:ascii="Verdana" w:hAnsi="Verdana"/>
          <w:b/>
        </w:rPr>
      </w:pPr>
      <w:r w:rsidRPr="00943A10">
        <w:rPr>
          <w:rFonts w:ascii="Verdana" w:hAnsi="Verdana"/>
          <w:b/>
        </w:rPr>
        <w:t>Competing interests:</w:t>
      </w:r>
      <w:r>
        <w:rPr>
          <w:rFonts w:ascii="Verdana" w:hAnsi="Verdana"/>
          <w:b/>
        </w:rPr>
        <w:t xml:space="preserve"> </w:t>
      </w:r>
      <w:r w:rsidRPr="00943A10">
        <w:rPr>
          <w:rFonts w:ascii="Verdana" w:hAnsi="Verdana"/>
        </w:rPr>
        <w:t>None to declare</w:t>
      </w:r>
    </w:p>
    <w:p w14:paraId="4A8F7936" w14:textId="77777777" w:rsidR="005F7B62" w:rsidRDefault="005F7B62" w:rsidP="007B4E2B">
      <w:pPr>
        <w:pStyle w:val="NoSpacing"/>
        <w:spacing w:line="480" w:lineRule="auto"/>
        <w:jc w:val="both"/>
        <w:rPr>
          <w:rFonts w:ascii="Verdana" w:hAnsi="Verdana"/>
        </w:rPr>
      </w:pPr>
    </w:p>
    <w:p w14:paraId="7D29DFEF" w14:textId="77777777" w:rsidR="005F7B62" w:rsidRDefault="005F7B62" w:rsidP="007B4E2B">
      <w:pPr>
        <w:pStyle w:val="NoSpacing"/>
        <w:spacing w:line="480" w:lineRule="auto"/>
        <w:jc w:val="both"/>
        <w:rPr>
          <w:rFonts w:ascii="Verdana" w:hAnsi="Verdana"/>
        </w:rPr>
      </w:pPr>
      <w:r w:rsidRPr="002E34A0">
        <w:rPr>
          <w:rFonts w:ascii="Verdana" w:hAnsi="Verdana"/>
          <w:b/>
        </w:rPr>
        <w:lastRenderedPageBreak/>
        <w:t>Authors’ contributions:</w:t>
      </w:r>
      <w:r w:rsidRPr="002E34A0">
        <w:rPr>
          <w:rFonts w:ascii="Verdana" w:hAnsi="Verdana"/>
        </w:rPr>
        <w:t xml:space="preserve"> </w:t>
      </w:r>
      <w:r>
        <w:rPr>
          <w:rFonts w:ascii="Verdana" w:hAnsi="Verdana"/>
        </w:rPr>
        <w:t>LS and SF designed the study; SF and LS carried out the initial data management and LS completed the analysis with input from JLB; JT, LT and GM contributed expertise on the synthetic estimation methodology and model validation; LS, TC and JLB wrote the first draft of the manuscript; all authors contributed to subsequent revisions and have approved the final version.</w:t>
      </w:r>
    </w:p>
    <w:p w14:paraId="4A80D36D" w14:textId="77777777" w:rsidR="005F7B62" w:rsidRDefault="005F7B62" w:rsidP="007B4E2B">
      <w:pPr>
        <w:pStyle w:val="NoSpacing"/>
        <w:spacing w:line="480" w:lineRule="auto"/>
        <w:jc w:val="both"/>
        <w:rPr>
          <w:rFonts w:ascii="Verdana" w:hAnsi="Verdana"/>
        </w:rPr>
      </w:pPr>
    </w:p>
    <w:p w14:paraId="4B3BE353" w14:textId="1656C901" w:rsidR="005F7B62" w:rsidRPr="00905C02" w:rsidRDefault="005F7B62" w:rsidP="007B4E2B">
      <w:pPr>
        <w:pStyle w:val="NoSpacing"/>
        <w:spacing w:line="480" w:lineRule="auto"/>
        <w:jc w:val="both"/>
        <w:rPr>
          <w:rFonts w:ascii="Verdana" w:hAnsi="Verdana" w:cs="Courier New"/>
        </w:rPr>
      </w:pPr>
      <w:r>
        <w:rPr>
          <w:rFonts w:ascii="Verdana" w:hAnsi="Verdana"/>
          <w:b/>
        </w:rPr>
        <w:t>Acknowledgements</w:t>
      </w:r>
      <w:r w:rsidRPr="00943A10">
        <w:rPr>
          <w:rFonts w:ascii="Verdana" w:hAnsi="Verdana"/>
          <w:b/>
        </w:rPr>
        <w:t>:</w:t>
      </w:r>
      <w:r>
        <w:rPr>
          <w:rFonts w:ascii="Verdana" w:hAnsi="Verdana"/>
        </w:rPr>
        <w:t xml:space="preserve"> This work was supported by</w:t>
      </w:r>
      <w:r w:rsidRPr="00615157">
        <w:rPr>
          <w:rFonts w:ascii="Verdana" w:hAnsi="Verdana"/>
        </w:rPr>
        <w:t xml:space="preserve"> the </w:t>
      </w:r>
      <w:r>
        <w:rPr>
          <w:rFonts w:ascii="Verdana" w:hAnsi="Verdana"/>
        </w:rPr>
        <w:t>National Institute for Health Research (</w:t>
      </w:r>
      <w:r w:rsidRPr="00615157">
        <w:rPr>
          <w:rFonts w:ascii="Verdana" w:hAnsi="Verdana"/>
        </w:rPr>
        <w:t>NIHR</w:t>
      </w:r>
      <w:r>
        <w:rPr>
          <w:rFonts w:ascii="Verdana" w:hAnsi="Verdana"/>
        </w:rPr>
        <w:t>)</w:t>
      </w:r>
      <w:r w:rsidRPr="00615157">
        <w:rPr>
          <w:rFonts w:ascii="Verdana" w:hAnsi="Verdana"/>
        </w:rPr>
        <w:t xml:space="preserve"> under its Programme Grants for Applied Research </w:t>
      </w:r>
      <w:r>
        <w:rPr>
          <w:rFonts w:ascii="Verdana" w:hAnsi="Verdana"/>
        </w:rPr>
        <w:t>p</w:t>
      </w:r>
      <w:r w:rsidRPr="00615157">
        <w:rPr>
          <w:rFonts w:ascii="Verdana" w:hAnsi="Verdana"/>
        </w:rPr>
        <w:t>rogramme (</w:t>
      </w:r>
      <w:r>
        <w:rPr>
          <w:rFonts w:ascii="Verdana" w:hAnsi="Verdana"/>
        </w:rPr>
        <w:t>g</w:t>
      </w:r>
      <w:r w:rsidRPr="00615157">
        <w:rPr>
          <w:rFonts w:ascii="Verdana" w:hAnsi="Verdana"/>
        </w:rPr>
        <w:t xml:space="preserve">rant </w:t>
      </w:r>
      <w:r>
        <w:rPr>
          <w:rFonts w:ascii="Verdana" w:hAnsi="Verdana"/>
        </w:rPr>
        <w:t>n</w:t>
      </w:r>
      <w:r w:rsidRPr="00615157">
        <w:rPr>
          <w:rFonts w:ascii="Verdana" w:hAnsi="Verdana"/>
        </w:rPr>
        <w:t>umber RP-PG 0109–10020). The views expressed in this article are those of the authors and not necessarily those of the NHS, the NIHR or the Department of Health.</w:t>
      </w:r>
      <w:r>
        <w:rPr>
          <w:rFonts w:ascii="Verdana" w:hAnsi="Verdana"/>
        </w:rPr>
        <w:t xml:space="preserve"> LS, TC and JLB are members of the UK Centre for Tobacco and Alcohol Studies which receives </w:t>
      </w:r>
      <w:r w:rsidRPr="00615157">
        <w:rPr>
          <w:rFonts w:ascii="Verdana" w:hAnsi="Verdana"/>
        </w:rPr>
        <w:t xml:space="preserve">core funding from the British Heart Foundation, Cancer Research UK, Economic and Social Research Council, Medical Research Council, </w:t>
      </w:r>
      <w:bookmarkStart w:id="0" w:name="_GoBack"/>
      <w:r w:rsidRPr="00905C02">
        <w:rPr>
          <w:rFonts w:ascii="Verdana" w:hAnsi="Verdana"/>
        </w:rPr>
        <w:t xml:space="preserve">and the Department of Health under the auspices of the UK Clinical Research Collaboration. </w:t>
      </w:r>
      <w:r w:rsidR="00D36A01" w:rsidRPr="00905C02">
        <w:rPr>
          <w:rFonts w:ascii="Verdana" w:hAnsi="Verdana"/>
          <w:lang w:val="en-US"/>
        </w:rPr>
        <w:t xml:space="preserve">The </w:t>
      </w:r>
      <w:proofErr w:type="gramStart"/>
      <w:r w:rsidR="00D36A01" w:rsidRPr="00905C02">
        <w:rPr>
          <w:rFonts w:ascii="Verdana" w:hAnsi="Verdana"/>
          <w:lang w:val="en-US"/>
        </w:rPr>
        <w:t>research was also supported by the National Institute</w:t>
      </w:r>
      <w:proofErr w:type="gramEnd"/>
      <w:r w:rsidR="00D36A01" w:rsidRPr="00905C02">
        <w:rPr>
          <w:rFonts w:ascii="Verdana" w:hAnsi="Verdana"/>
          <w:lang w:val="en-US"/>
        </w:rPr>
        <w:t xml:space="preserve"> for Health Research (NIHR) Collaboration for Leadership in Applied Health Research and Care East Midlands at NHS Nottingham City CCG.</w:t>
      </w:r>
      <w:r w:rsidR="00675E7D" w:rsidRPr="00905C02">
        <w:rPr>
          <w:rFonts w:ascii="Verdana" w:hAnsi="Verdana"/>
          <w:lang w:val="en-US"/>
        </w:rPr>
        <w:t xml:space="preserve"> </w:t>
      </w:r>
      <w:proofErr w:type="gramStart"/>
      <w:r w:rsidRPr="00905C02">
        <w:rPr>
          <w:rFonts w:ascii="Verdana" w:hAnsi="Verdana"/>
        </w:rPr>
        <w:t>GM, LT and JT were funded by the ESRC Secondary Data Analysis Initiative</w:t>
      </w:r>
      <w:proofErr w:type="gramEnd"/>
      <w:r w:rsidRPr="00905C02">
        <w:rPr>
          <w:rFonts w:ascii="Verdana" w:hAnsi="Verdana"/>
        </w:rPr>
        <w:t xml:space="preserve"> (grant number </w:t>
      </w:r>
      <w:r w:rsidRPr="00905C02">
        <w:rPr>
          <w:rFonts w:ascii="Verdana" w:hAnsi="Verdana" w:cs="Courier New"/>
        </w:rPr>
        <w:t>ES/K003046/1).</w:t>
      </w:r>
    </w:p>
    <w:bookmarkEnd w:id="0"/>
    <w:p w14:paraId="59FFC001" w14:textId="77777777" w:rsidR="005F7B62" w:rsidRDefault="005F7B62" w:rsidP="007B4E2B">
      <w:pPr>
        <w:pStyle w:val="NoSpacing"/>
        <w:jc w:val="both"/>
        <w:rPr>
          <w:rFonts w:ascii="Verdana" w:hAnsi="Verdana"/>
        </w:rPr>
      </w:pPr>
    </w:p>
    <w:p w14:paraId="4375CEAA" w14:textId="77777777" w:rsidR="005F7B62" w:rsidRDefault="005F7B62" w:rsidP="007B4E2B">
      <w:pPr>
        <w:pStyle w:val="NoSpacing"/>
        <w:jc w:val="both"/>
        <w:rPr>
          <w:rFonts w:ascii="Verdana" w:hAnsi="Verdana"/>
          <w:b/>
        </w:rPr>
      </w:pPr>
    </w:p>
    <w:p w14:paraId="1986239B" w14:textId="77777777" w:rsidR="005F7B62" w:rsidRPr="00CE0C30" w:rsidRDefault="005F7B62" w:rsidP="007B4E2B">
      <w:pPr>
        <w:pStyle w:val="NoSpacing"/>
        <w:jc w:val="both"/>
        <w:rPr>
          <w:rFonts w:ascii="Verdana" w:hAnsi="Verdana"/>
          <w:b/>
        </w:rPr>
      </w:pPr>
      <w:r w:rsidRPr="00CE0C30">
        <w:rPr>
          <w:rFonts w:ascii="Verdana" w:hAnsi="Verdana"/>
          <w:b/>
        </w:rPr>
        <w:t>References</w:t>
      </w:r>
    </w:p>
    <w:p w14:paraId="4A10AE9A" w14:textId="77777777" w:rsidR="005F7B62" w:rsidRDefault="005F7B62" w:rsidP="007B4E2B">
      <w:pPr>
        <w:pStyle w:val="NoSpacing"/>
        <w:jc w:val="both"/>
        <w:rPr>
          <w:rFonts w:ascii="Verdana" w:hAnsi="Verdana"/>
        </w:rPr>
      </w:pPr>
    </w:p>
    <w:p w14:paraId="3EA58D4C" w14:textId="46619488" w:rsidR="00AB7779" w:rsidRDefault="005F7B62" w:rsidP="007B4E2B">
      <w:pPr>
        <w:pStyle w:val="EndNoteBibliography"/>
        <w:numPr>
          <w:ilvl w:val="0"/>
          <w:numId w:val="7"/>
        </w:numPr>
        <w:spacing w:after="0"/>
        <w:rPr>
          <w:rFonts w:ascii="Verdana" w:hAnsi="Verdana"/>
          <w:noProof/>
        </w:rPr>
      </w:pPr>
      <w:bookmarkStart w:id="1" w:name="_ENREF_1"/>
      <w:r w:rsidRPr="00AB7779">
        <w:rPr>
          <w:rFonts w:ascii="Verdana" w:hAnsi="Verdana"/>
          <w:noProof/>
        </w:rPr>
        <w:t>Department of Health. Healthy Lives, healthy people: a tobacco control plan for England. London: Department of Health</w:t>
      </w:r>
      <w:r w:rsidR="00E21E22">
        <w:rPr>
          <w:rFonts w:ascii="Verdana" w:hAnsi="Verdana"/>
          <w:noProof/>
        </w:rPr>
        <w:t xml:space="preserve">; </w:t>
      </w:r>
      <w:r w:rsidRPr="00AB7779">
        <w:rPr>
          <w:rFonts w:ascii="Verdana" w:hAnsi="Verdana"/>
          <w:noProof/>
        </w:rPr>
        <w:t>2011.</w:t>
      </w:r>
      <w:bookmarkStart w:id="2" w:name="_ENREF_2"/>
      <w:bookmarkEnd w:id="1"/>
    </w:p>
    <w:p w14:paraId="288C005F" w14:textId="77777777" w:rsidR="00E21E22" w:rsidRDefault="00E21E22" w:rsidP="00E21E22">
      <w:pPr>
        <w:pStyle w:val="EndNoteBibliography"/>
        <w:spacing w:after="0"/>
        <w:ind w:left="720"/>
        <w:rPr>
          <w:rFonts w:ascii="Verdana" w:hAnsi="Verdana"/>
          <w:noProof/>
        </w:rPr>
      </w:pPr>
    </w:p>
    <w:p w14:paraId="20AA9DC8" w14:textId="52518A5A"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Health and Social Care Information Centre. Smoking Status at Time of Delivery Collection.</w:t>
      </w:r>
      <w:r w:rsidR="00E21E22">
        <w:rPr>
          <w:rFonts w:ascii="Verdana" w:hAnsi="Verdana"/>
          <w:noProof/>
        </w:rPr>
        <w:t xml:space="preserve"> </w:t>
      </w:r>
      <w:r w:rsidRPr="00AB7779">
        <w:rPr>
          <w:rFonts w:ascii="Verdana" w:hAnsi="Verdana"/>
          <w:noProof/>
          <w:lang w:val="en-GB"/>
        </w:rPr>
        <w:t>http://www.hscic.gov.uk/datacollections/ssatod</w:t>
      </w:r>
      <w:r w:rsidRPr="00AB7779">
        <w:rPr>
          <w:rFonts w:ascii="Verdana" w:hAnsi="Verdana"/>
          <w:noProof/>
        </w:rPr>
        <w:t>. Accessed 12 December 2014.</w:t>
      </w:r>
      <w:bookmarkStart w:id="3" w:name="_ENREF_3"/>
      <w:bookmarkEnd w:id="2"/>
    </w:p>
    <w:p w14:paraId="65090AB7" w14:textId="77777777" w:rsidR="00E21E22" w:rsidRDefault="00E21E22" w:rsidP="00E21E22">
      <w:pPr>
        <w:pStyle w:val="EndNoteBibliography"/>
        <w:spacing w:after="0"/>
        <w:rPr>
          <w:rFonts w:ascii="Verdana" w:hAnsi="Verdana"/>
          <w:noProof/>
        </w:rPr>
      </w:pPr>
    </w:p>
    <w:p w14:paraId="73C9BAA3" w14:textId="77777777"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 xml:space="preserve">Health and Social Care Information Centre. Statistics on Women's Smoking Status at Time of Delivery - England, Quarter 4, 2012-13. </w:t>
      </w:r>
      <w:r w:rsidRPr="00AB7779">
        <w:rPr>
          <w:rFonts w:ascii="Verdana" w:hAnsi="Verdana"/>
          <w:noProof/>
          <w:lang w:val="en-GB"/>
        </w:rPr>
        <w:lastRenderedPageBreak/>
        <w:t>http://www.hscic.gov.uk/catalogue/PUB11039/stat-wome-smok-time-dele-eng-q4-12-13-tab.xls</w:t>
      </w:r>
      <w:r w:rsidRPr="00AB7779">
        <w:rPr>
          <w:rFonts w:ascii="Verdana" w:hAnsi="Verdana"/>
          <w:noProof/>
        </w:rPr>
        <w:t>. Accessed 6 February 2015.</w:t>
      </w:r>
      <w:bookmarkStart w:id="4" w:name="_ENREF_4"/>
      <w:bookmarkEnd w:id="3"/>
    </w:p>
    <w:p w14:paraId="1B0740EC" w14:textId="77777777" w:rsidR="00E21E22" w:rsidRDefault="00E21E22" w:rsidP="00E21E22">
      <w:pPr>
        <w:pStyle w:val="EndNoteBibliography"/>
        <w:spacing w:after="0"/>
        <w:rPr>
          <w:rFonts w:ascii="Verdana" w:hAnsi="Verdana"/>
          <w:noProof/>
        </w:rPr>
      </w:pPr>
    </w:p>
    <w:p w14:paraId="5E2E4802" w14:textId="569E14F9"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Action on Smoking and Health. Smoking cessation in pregnancy: A call to action. London: ASH</w:t>
      </w:r>
      <w:r w:rsidR="00E21E22">
        <w:rPr>
          <w:rFonts w:ascii="Verdana" w:hAnsi="Verdana"/>
          <w:noProof/>
        </w:rPr>
        <w:t xml:space="preserve">; </w:t>
      </w:r>
      <w:r w:rsidRPr="00AB7779">
        <w:rPr>
          <w:rFonts w:ascii="Verdana" w:hAnsi="Verdana"/>
          <w:noProof/>
        </w:rPr>
        <w:t>2013.</w:t>
      </w:r>
      <w:bookmarkStart w:id="5" w:name="_ENREF_5"/>
      <w:bookmarkEnd w:id="4"/>
    </w:p>
    <w:p w14:paraId="1D357457" w14:textId="77777777" w:rsidR="00E21E22" w:rsidRDefault="00E21E22" w:rsidP="00E21E22">
      <w:pPr>
        <w:pStyle w:val="EndNoteBibliography"/>
        <w:spacing w:after="0"/>
        <w:rPr>
          <w:rFonts w:ascii="Verdana" w:hAnsi="Verdana"/>
          <w:noProof/>
        </w:rPr>
      </w:pPr>
    </w:p>
    <w:p w14:paraId="7414255B" w14:textId="77777777"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 xml:space="preserve">Health and Social Care Information Centre. Maternity Services Data Set. </w:t>
      </w:r>
      <w:r w:rsidRPr="00AB7779">
        <w:rPr>
          <w:rFonts w:ascii="Verdana" w:hAnsi="Verdana"/>
          <w:noProof/>
          <w:lang w:val="en-GB"/>
        </w:rPr>
        <w:t>http://www.hscic.gov.uk/maternityandchildren/maternity</w:t>
      </w:r>
      <w:r w:rsidRPr="00AB7779">
        <w:rPr>
          <w:rFonts w:ascii="Verdana" w:hAnsi="Verdana"/>
          <w:noProof/>
        </w:rPr>
        <w:t>. Accessed 12 December 2014.</w:t>
      </w:r>
      <w:bookmarkStart w:id="6" w:name="_ENREF_6"/>
      <w:bookmarkEnd w:id="5"/>
    </w:p>
    <w:p w14:paraId="099783F4" w14:textId="77777777" w:rsidR="00E21E22" w:rsidRDefault="00E21E22" w:rsidP="00E21E22">
      <w:pPr>
        <w:pStyle w:val="EndNoteBibliography"/>
        <w:spacing w:after="0"/>
        <w:rPr>
          <w:rFonts w:ascii="Verdana" w:hAnsi="Verdana"/>
          <w:noProof/>
        </w:rPr>
      </w:pPr>
    </w:p>
    <w:p w14:paraId="45DDC8FF" w14:textId="79065F7B"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Health and Social Care Information Centre. Infant Feeding Survey - UK, 2010: Appendix A, Survey methodology. London: Health and Social Care Information Centre</w:t>
      </w:r>
      <w:r w:rsidR="00E21E22">
        <w:rPr>
          <w:rFonts w:ascii="Verdana" w:hAnsi="Verdana"/>
          <w:noProof/>
        </w:rPr>
        <w:t xml:space="preserve">; </w:t>
      </w:r>
      <w:r w:rsidRPr="00AB7779">
        <w:rPr>
          <w:rFonts w:ascii="Verdana" w:hAnsi="Verdana"/>
          <w:noProof/>
        </w:rPr>
        <w:t>2012</w:t>
      </w:r>
      <w:bookmarkStart w:id="7" w:name="_ENREF_7"/>
      <w:bookmarkEnd w:id="6"/>
    </w:p>
    <w:p w14:paraId="6369E432" w14:textId="77777777" w:rsidR="00E21E22" w:rsidRDefault="00E21E22" w:rsidP="00E21E22">
      <w:pPr>
        <w:pStyle w:val="EndNoteBibliography"/>
        <w:spacing w:after="0"/>
        <w:rPr>
          <w:rFonts w:ascii="Verdana" w:hAnsi="Verdana"/>
          <w:noProof/>
        </w:rPr>
      </w:pPr>
    </w:p>
    <w:p w14:paraId="6770F732" w14:textId="2E73B3E2"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Davies C, Jenner D. Mesuring smoking prevalence in local populations</w:t>
      </w:r>
      <w:r w:rsidR="00E21E22">
        <w:rPr>
          <w:rFonts w:ascii="Verdana" w:hAnsi="Verdana"/>
          <w:noProof/>
        </w:rPr>
        <w:t>.</w:t>
      </w:r>
      <w:r w:rsidRPr="00AB7779">
        <w:rPr>
          <w:rFonts w:ascii="Verdana" w:hAnsi="Verdana"/>
          <w:noProof/>
        </w:rPr>
        <w:t xml:space="preserve"> Association of Public Health Observatories</w:t>
      </w:r>
      <w:r w:rsidR="00E21E22">
        <w:rPr>
          <w:rFonts w:ascii="Verdana" w:hAnsi="Verdana"/>
          <w:noProof/>
        </w:rPr>
        <w:t xml:space="preserve">; </w:t>
      </w:r>
      <w:r w:rsidRPr="00AB7779">
        <w:rPr>
          <w:rFonts w:ascii="Verdana" w:hAnsi="Verdana"/>
          <w:noProof/>
        </w:rPr>
        <w:t>2010.</w:t>
      </w:r>
      <w:bookmarkStart w:id="8" w:name="_ENREF_8"/>
      <w:bookmarkEnd w:id="7"/>
    </w:p>
    <w:p w14:paraId="0489E501" w14:textId="77777777" w:rsidR="00E21E22" w:rsidRDefault="00E21E22" w:rsidP="00E21E22">
      <w:pPr>
        <w:pStyle w:val="EndNoteBibliography"/>
        <w:spacing w:after="0"/>
        <w:ind w:left="720"/>
        <w:rPr>
          <w:rFonts w:ascii="Verdana" w:hAnsi="Verdana"/>
          <w:noProof/>
        </w:rPr>
      </w:pPr>
    </w:p>
    <w:p w14:paraId="6DA74752" w14:textId="0A73591E"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Twigg L, Moon G, Walker S. The smoking epidemic in England. London: Health Development Agency</w:t>
      </w:r>
      <w:r w:rsidR="00E21E22">
        <w:rPr>
          <w:rFonts w:ascii="Verdana" w:hAnsi="Verdana"/>
          <w:noProof/>
        </w:rPr>
        <w:t xml:space="preserve">; </w:t>
      </w:r>
      <w:r w:rsidRPr="00AB7779">
        <w:rPr>
          <w:rFonts w:ascii="Verdana" w:hAnsi="Verdana"/>
          <w:noProof/>
        </w:rPr>
        <w:t>2004.</w:t>
      </w:r>
      <w:bookmarkStart w:id="9" w:name="_ENREF_9"/>
      <w:bookmarkEnd w:id="8"/>
      <w:r w:rsidRPr="00AB7779">
        <w:rPr>
          <w:rFonts w:ascii="Verdana" w:hAnsi="Verdana"/>
          <w:noProof/>
        </w:rPr>
        <w:t xml:space="preserve"> </w:t>
      </w:r>
    </w:p>
    <w:p w14:paraId="27C8BC8B" w14:textId="77777777" w:rsidR="00E21E22" w:rsidRDefault="00E21E22" w:rsidP="00E21E22">
      <w:pPr>
        <w:pStyle w:val="EndNoteBibliography"/>
        <w:spacing w:after="0"/>
        <w:rPr>
          <w:rFonts w:ascii="Verdana" w:hAnsi="Verdana"/>
          <w:noProof/>
        </w:rPr>
      </w:pPr>
    </w:p>
    <w:p w14:paraId="06E22A57" w14:textId="2AB90FFB"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Twigg L, Moon G, Jones K. Predicting small-area health-related behaviour: a comparison of smoking and drinking indicators. Soc Sci Med. 2000;</w:t>
      </w:r>
      <w:r w:rsidR="001E69BB">
        <w:rPr>
          <w:rFonts w:ascii="Verdana" w:hAnsi="Verdana"/>
          <w:noProof/>
        </w:rPr>
        <w:t xml:space="preserve"> </w:t>
      </w:r>
      <w:r w:rsidRPr="00AB7779">
        <w:rPr>
          <w:rFonts w:ascii="Verdana" w:hAnsi="Verdana"/>
          <w:noProof/>
        </w:rPr>
        <w:t xml:space="preserve">50(7-8):1109-20. </w:t>
      </w:r>
      <w:bookmarkStart w:id="10" w:name="_ENREF_10"/>
      <w:bookmarkEnd w:id="9"/>
    </w:p>
    <w:p w14:paraId="0826ED3B" w14:textId="77777777" w:rsidR="001E69BB" w:rsidRDefault="001E69BB" w:rsidP="001E69BB">
      <w:pPr>
        <w:pStyle w:val="EndNoteBibliography"/>
        <w:spacing w:after="0"/>
        <w:rPr>
          <w:rFonts w:ascii="Verdana" w:hAnsi="Verdana"/>
          <w:noProof/>
        </w:rPr>
      </w:pPr>
    </w:p>
    <w:p w14:paraId="18A6D113" w14:textId="6B92ABF7" w:rsidR="001E69BB" w:rsidRDefault="005F7B62" w:rsidP="001E69BB">
      <w:pPr>
        <w:pStyle w:val="EndNoteBibliography"/>
        <w:numPr>
          <w:ilvl w:val="0"/>
          <w:numId w:val="7"/>
        </w:numPr>
        <w:spacing w:after="0"/>
        <w:rPr>
          <w:rFonts w:ascii="Verdana" w:hAnsi="Verdana"/>
          <w:noProof/>
        </w:rPr>
      </w:pPr>
      <w:r w:rsidRPr="00AB7779">
        <w:rPr>
          <w:rFonts w:ascii="Verdana" w:hAnsi="Verdana"/>
          <w:noProof/>
        </w:rPr>
        <w:t>Moon G, Quarendon G, Barnard S, Twigg L, Blyth B. Fat nation: Deciphering the distinctive geographies of obesity in England. Soc Sci Med. 2007;</w:t>
      </w:r>
      <w:r w:rsidR="001E69BB">
        <w:rPr>
          <w:rFonts w:ascii="Verdana" w:hAnsi="Verdana"/>
          <w:noProof/>
        </w:rPr>
        <w:t xml:space="preserve"> </w:t>
      </w:r>
      <w:r w:rsidRPr="00AB7779">
        <w:rPr>
          <w:rFonts w:ascii="Verdana" w:hAnsi="Verdana"/>
          <w:noProof/>
        </w:rPr>
        <w:t xml:space="preserve">65(1):20-31. </w:t>
      </w:r>
      <w:bookmarkStart w:id="11" w:name="_ENREF_11"/>
      <w:bookmarkEnd w:id="10"/>
    </w:p>
    <w:p w14:paraId="709FC399" w14:textId="77777777" w:rsidR="001E69BB" w:rsidRPr="001E69BB" w:rsidRDefault="001E69BB" w:rsidP="001E69BB">
      <w:pPr>
        <w:pStyle w:val="EndNoteBibliography"/>
        <w:spacing w:after="0"/>
        <w:rPr>
          <w:rFonts w:ascii="Verdana" w:hAnsi="Verdana"/>
          <w:noProof/>
        </w:rPr>
      </w:pPr>
    </w:p>
    <w:p w14:paraId="68C6B77D" w14:textId="7A43A41C"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Yorkshire and Humber Health Intellig</w:t>
      </w:r>
      <w:r w:rsidR="001E69BB">
        <w:rPr>
          <w:rFonts w:ascii="Verdana" w:hAnsi="Verdana"/>
          <w:noProof/>
        </w:rPr>
        <w:t>ence. Diabetes Prevalence model</w:t>
      </w:r>
      <w:r w:rsidRPr="00AB7779">
        <w:rPr>
          <w:rFonts w:ascii="Verdana" w:hAnsi="Verdana"/>
          <w:noProof/>
        </w:rPr>
        <w:t xml:space="preserve">. </w:t>
      </w:r>
      <w:r w:rsidRPr="00AB7779">
        <w:rPr>
          <w:rFonts w:ascii="Verdana" w:hAnsi="Verdana"/>
          <w:noProof/>
          <w:lang w:val="en-GB"/>
        </w:rPr>
        <w:t>http://www.yhpho.org.uk/default.aspx?RID=81090</w:t>
      </w:r>
      <w:r w:rsidRPr="00AB7779">
        <w:rPr>
          <w:rFonts w:ascii="Verdana" w:hAnsi="Verdana"/>
          <w:noProof/>
        </w:rPr>
        <w:t>. Accessed 9 December 2014.</w:t>
      </w:r>
      <w:bookmarkStart w:id="12" w:name="_ENREF_12"/>
      <w:bookmarkEnd w:id="11"/>
    </w:p>
    <w:p w14:paraId="74DC185D" w14:textId="77777777" w:rsidR="001E69BB" w:rsidRDefault="001E69BB" w:rsidP="001E69BB">
      <w:pPr>
        <w:pStyle w:val="EndNoteBibliography"/>
        <w:spacing w:after="0"/>
        <w:rPr>
          <w:rFonts w:ascii="Verdana" w:hAnsi="Verdana"/>
          <w:noProof/>
        </w:rPr>
      </w:pPr>
    </w:p>
    <w:p w14:paraId="159EA1A4" w14:textId="684D8C2F"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Scarborough P, Allender S, Rayner M, Goldacre M. Validation of model-based e</w:t>
      </w:r>
      <w:r w:rsidR="00E80FC7" w:rsidRPr="00AB7779">
        <w:rPr>
          <w:rFonts w:ascii="Verdana" w:hAnsi="Verdana"/>
          <w:noProof/>
        </w:rPr>
        <w:t>stimates (synthetic esti</w:t>
      </w:r>
      <w:r w:rsidRPr="00AB7779">
        <w:rPr>
          <w:rFonts w:ascii="Verdana" w:hAnsi="Verdana"/>
          <w:noProof/>
        </w:rPr>
        <w:t>m</w:t>
      </w:r>
      <w:r w:rsidR="00E80FC7" w:rsidRPr="00AB7779">
        <w:rPr>
          <w:rFonts w:ascii="Verdana" w:hAnsi="Verdana"/>
          <w:noProof/>
        </w:rPr>
        <w:t>a</w:t>
      </w:r>
      <w:r w:rsidRPr="00AB7779">
        <w:rPr>
          <w:rFonts w:ascii="Verdana" w:hAnsi="Verdana"/>
          <w:noProof/>
        </w:rPr>
        <w:t>tes) of the prevalence of risk factors for coronary heart disease for wards in England. Health &amp; Place. 2009;</w:t>
      </w:r>
      <w:r w:rsidR="002D1547">
        <w:rPr>
          <w:rFonts w:ascii="Verdana" w:hAnsi="Verdana"/>
          <w:noProof/>
        </w:rPr>
        <w:t xml:space="preserve"> </w:t>
      </w:r>
      <w:r w:rsidRPr="00AB7779">
        <w:rPr>
          <w:rFonts w:ascii="Verdana" w:hAnsi="Verdana"/>
          <w:noProof/>
        </w:rPr>
        <w:t xml:space="preserve">15:596-605. </w:t>
      </w:r>
      <w:bookmarkStart w:id="13" w:name="_ENREF_13"/>
      <w:bookmarkEnd w:id="12"/>
    </w:p>
    <w:p w14:paraId="0FFBB8F7" w14:textId="77777777" w:rsidR="001E69BB" w:rsidRDefault="001E69BB" w:rsidP="001E69BB">
      <w:pPr>
        <w:pStyle w:val="EndNoteBibliography"/>
        <w:spacing w:after="0"/>
        <w:rPr>
          <w:rFonts w:ascii="Verdana" w:hAnsi="Verdana"/>
          <w:noProof/>
        </w:rPr>
      </w:pPr>
    </w:p>
    <w:p w14:paraId="45354358" w14:textId="77777777"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 xml:space="preserve">Health and Social Care Information Centre. Health Survey for England – 2004: Health of ethnic minorities, Headline results. 2005. </w:t>
      </w:r>
      <w:r w:rsidRPr="00AB7779">
        <w:rPr>
          <w:rFonts w:ascii="Verdana" w:hAnsi="Verdana"/>
          <w:noProof/>
          <w:lang w:val="en-GB"/>
        </w:rPr>
        <w:t>http://www.hscic.gov.uk/pubs/hse04ethnic</w:t>
      </w:r>
      <w:r w:rsidRPr="00AB7779">
        <w:rPr>
          <w:rFonts w:ascii="Verdana" w:hAnsi="Verdana"/>
          <w:noProof/>
        </w:rPr>
        <w:t>. Accessed 9 December 2014.</w:t>
      </w:r>
      <w:bookmarkStart w:id="14" w:name="_ENREF_14"/>
      <w:bookmarkEnd w:id="13"/>
    </w:p>
    <w:p w14:paraId="0207E34F" w14:textId="77777777" w:rsidR="002D1547" w:rsidRDefault="002D1547" w:rsidP="002D1547">
      <w:pPr>
        <w:pStyle w:val="EndNoteBibliography"/>
        <w:spacing w:after="0"/>
        <w:rPr>
          <w:rFonts w:ascii="Verdana" w:hAnsi="Verdana"/>
          <w:noProof/>
        </w:rPr>
      </w:pPr>
    </w:p>
    <w:p w14:paraId="32A6C9B9" w14:textId="77777777"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 xml:space="preserve">UK Data Service Census Support. InFuse. </w:t>
      </w:r>
      <w:r w:rsidRPr="00AB7779">
        <w:rPr>
          <w:rFonts w:ascii="Verdana" w:hAnsi="Verdana"/>
          <w:noProof/>
          <w:lang w:val="en-GB"/>
        </w:rPr>
        <w:t>http://infuse.mimas.ac.uk/</w:t>
      </w:r>
      <w:r w:rsidRPr="00AB7779">
        <w:rPr>
          <w:rFonts w:ascii="Verdana" w:hAnsi="Verdana"/>
          <w:noProof/>
        </w:rPr>
        <w:t>. Accessed 9 December 2014.</w:t>
      </w:r>
      <w:bookmarkStart w:id="15" w:name="_ENREF_15"/>
      <w:bookmarkEnd w:id="14"/>
    </w:p>
    <w:p w14:paraId="05D9C283" w14:textId="77777777" w:rsidR="002D1547" w:rsidRDefault="002D1547" w:rsidP="002D1547">
      <w:pPr>
        <w:pStyle w:val="EndNoteBibliography"/>
        <w:spacing w:after="0"/>
        <w:rPr>
          <w:rFonts w:ascii="Verdana" w:hAnsi="Verdana"/>
          <w:noProof/>
        </w:rPr>
      </w:pPr>
    </w:p>
    <w:p w14:paraId="0FA40EE6" w14:textId="68673AFE"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Rasbash J, Charlton C, Browne WJ, Healy M, Cameron B. MLwiN Version 2.3. University of Bristol: Centre for Multilevel Modelling</w:t>
      </w:r>
      <w:r w:rsidR="002D1547">
        <w:rPr>
          <w:rFonts w:ascii="Verdana" w:hAnsi="Verdana"/>
          <w:noProof/>
        </w:rPr>
        <w:t xml:space="preserve">; </w:t>
      </w:r>
      <w:r w:rsidRPr="00AB7779">
        <w:rPr>
          <w:rFonts w:ascii="Verdana" w:hAnsi="Verdana"/>
          <w:noProof/>
        </w:rPr>
        <w:t>2014.</w:t>
      </w:r>
      <w:bookmarkStart w:id="16" w:name="_ENREF_16"/>
      <w:bookmarkEnd w:id="15"/>
    </w:p>
    <w:p w14:paraId="3B9E0B77" w14:textId="42B46D9E"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StataCorp. Stata Statistical Software: Release 13. College Station, TX</w:t>
      </w:r>
      <w:bookmarkStart w:id="17" w:name="_ENREF_17"/>
      <w:bookmarkEnd w:id="16"/>
      <w:r w:rsidR="002D1547">
        <w:rPr>
          <w:rFonts w:ascii="Verdana" w:hAnsi="Verdana"/>
          <w:noProof/>
        </w:rPr>
        <w:t>.</w:t>
      </w:r>
    </w:p>
    <w:p w14:paraId="5B4F124A" w14:textId="77777777" w:rsidR="002D1547" w:rsidRDefault="002D1547" w:rsidP="002D1547">
      <w:pPr>
        <w:pStyle w:val="EndNoteBibliography"/>
        <w:spacing w:after="0"/>
        <w:ind w:left="720"/>
        <w:rPr>
          <w:rFonts w:ascii="Verdana" w:hAnsi="Verdana"/>
          <w:noProof/>
        </w:rPr>
      </w:pPr>
    </w:p>
    <w:p w14:paraId="5A1A4B84" w14:textId="005FFA6C"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Leckie G, Charlton C. runmlwin - A Program to Run the MLwiN Multilevel Modelling Software from within Stata. Journal of Statistical Software. 2013;</w:t>
      </w:r>
      <w:r w:rsidR="002D1547">
        <w:rPr>
          <w:rFonts w:ascii="Verdana" w:hAnsi="Verdana"/>
          <w:noProof/>
        </w:rPr>
        <w:t xml:space="preserve"> </w:t>
      </w:r>
      <w:r w:rsidRPr="00AB7779">
        <w:rPr>
          <w:rFonts w:ascii="Verdana" w:hAnsi="Verdana"/>
          <w:noProof/>
        </w:rPr>
        <w:t xml:space="preserve">52(11):1-40. </w:t>
      </w:r>
      <w:bookmarkStart w:id="18" w:name="_ENREF_18"/>
      <w:bookmarkEnd w:id="17"/>
    </w:p>
    <w:p w14:paraId="1EDE1E5E" w14:textId="77777777" w:rsidR="002D1547" w:rsidRDefault="002D1547" w:rsidP="002D1547">
      <w:pPr>
        <w:pStyle w:val="EndNoteBibliography"/>
        <w:spacing w:after="0"/>
        <w:rPr>
          <w:rFonts w:ascii="Verdana" w:hAnsi="Verdana"/>
          <w:noProof/>
        </w:rPr>
      </w:pPr>
    </w:p>
    <w:p w14:paraId="7A000423" w14:textId="7EA98615"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lastRenderedPageBreak/>
        <w:t>Browne W. MCMC Estimation in MLwiN, v2.26. University of Bristol: Centre for Multilevel Modelling</w:t>
      </w:r>
      <w:r w:rsidR="002D1547">
        <w:rPr>
          <w:rFonts w:ascii="Verdana" w:hAnsi="Verdana"/>
          <w:noProof/>
        </w:rPr>
        <w:t xml:space="preserve">; </w:t>
      </w:r>
      <w:r w:rsidRPr="00AB7779">
        <w:rPr>
          <w:rFonts w:ascii="Verdana" w:hAnsi="Verdana"/>
          <w:noProof/>
        </w:rPr>
        <w:t>2012.</w:t>
      </w:r>
      <w:bookmarkStart w:id="19" w:name="_ENREF_19"/>
      <w:bookmarkEnd w:id="18"/>
    </w:p>
    <w:p w14:paraId="7D16A233" w14:textId="77777777" w:rsidR="002D1547" w:rsidRDefault="002D1547" w:rsidP="002D1547">
      <w:pPr>
        <w:pStyle w:val="EndNoteBibliography"/>
        <w:spacing w:after="0"/>
        <w:rPr>
          <w:rFonts w:ascii="Verdana" w:hAnsi="Verdana"/>
          <w:noProof/>
        </w:rPr>
      </w:pPr>
    </w:p>
    <w:p w14:paraId="20105A63" w14:textId="77777777"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 xml:space="preserve">Health and Social Care Information Centre. Hospital Episode Statistics. </w:t>
      </w:r>
      <w:r w:rsidRPr="00AB7779">
        <w:rPr>
          <w:rFonts w:ascii="Verdana" w:hAnsi="Verdana"/>
          <w:noProof/>
          <w:lang w:val="en-GB"/>
        </w:rPr>
        <w:t>http://www.hscic.gov.uk/hes</w:t>
      </w:r>
      <w:r w:rsidRPr="00AB7779">
        <w:rPr>
          <w:rFonts w:ascii="Verdana" w:hAnsi="Verdana"/>
          <w:noProof/>
        </w:rPr>
        <w:t>. Accessed 5th September 2014.</w:t>
      </w:r>
      <w:bookmarkStart w:id="20" w:name="_ENREF_20"/>
      <w:bookmarkEnd w:id="19"/>
    </w:p>
    <w:p w14:paraId="4889C346" w14:textId="77777777" w:rsidR="002D1547" w:rsidRDefault="002D1547" w:rsidP="002D1547">
      <w:pPr>
        <w:pStyle w:val="EndNoteBibliography"/>
        <w:spacing w:after="0"/>
        <w:rPr>
          <w:rFonts w:ascii="Verdana" w:hAnsi="Verdana"/>
          <w:noProof/>
        </w:rPr>
      </w:pPr>
    </w:p>
    <w:p w14:paraId="731E64AB" w14:textId="77777777"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Taylor J. Small area synthetic estimation of perceptions of alcohol and drug-related anti-social behaviour: PhD thesis, University of Portsmouth; 2013.</w:t>
      </w:r>
      <w:bookmarkStart w:id="21" w:name="_ENREF_21"/>
      <w:bookmarkEnd w:id="20"/>
    </w:p>
    <w:p w14:paraId="56F16BCC" w14:textId="77777777" w:rsidR="002D1547" w:rsidRDefault="002D1547" w:rsidP="002D1547">
      <w:pPr>
        <w:pStyle w:val="EndNoteBibliography"/>
        <w:spacing w:after="0"/>
        <w:rPr>
          <w:rFonts w:ascii="Verdana" w:hAnsi="Verdana"/>
          <w:noProof/>
        </w:rPr>
      </w:pPr>
    </w:p>
    <w:p w14:paraId="1064B440" w14:textId="25BD7660"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Pickering K, Scholes S, Bajekal M. Synthetic estimation of healthy lifestyles indicators: Stage 2 report. London: National Centre for Social Research</w:t>
      </w:r>
      <w:r w:rsidR="002D1547">
        <w:rPr>
          <w:rFonts w:ascii="Verdana" w:hAnsi="Verdana"/>
          <w:noProof/>
        </w:rPr>
        <w:t xml:space="preserve">; </w:t>
      </w:r>
      <w:r w:rsidRPr="00AB7779">
        <w:rPr>
          <w:rFonts w:ascii="Verdana" w:hAnsi="Verdana"/>
          <w:noProof/>
        </w:rPr>
        <w:t>2004.</w:t>
      </w:r>
      <w:bookmarkStart w:id="22" w:name="_ENREF_22"/>
      <w:bookmarkEnd w:id="21"/>
    </w:p>
    <w:p w14:paraId="2359E585" w14:textId="77777777" w:rsidR="002D1547" w:rsidRDefault="002D1547" w:rsidP="002D1547">
      <w:pPr>
        <w:pStyle w:val="EndNoteBibliography"/>
        <w:spacing w:after="0"/>
        <w:rPr>
          <w:rFonts w:ascii="Verdana" w:hAnsi="Verdana"/>
          <w:noProof/>
        </w:rPr>
      </w:pPr>
    </w:p>
    <w:p w14:paraId="12D1988B" w14:textId="26DDB105"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 xml:space="preserve">Department of Health. Statistical release: Smoking at delivery - Quarter 4, 2010/11. </w:t>
      </w:r>
      <w:r w:rsidRPr="00AB7779">
        <w:rPr>
          <w:rFonts w:ascii="Verdana" w:hAnsi="Verdana"/>
          <w:noProof/>
          <w:lang w:val="en-GB"/>
        </w:rPr>
        <w:t>http://webarchive.nationalarchives.gov.uk/20130107105354/http://www.dh.gov.uk/prod_consum_dh/groups/dh_digitalassets/documents/digitalasset/dh_127465.xls</w:t>
      </w:r>
      <w:r w:rsidRPr="00AB7779">
        <w:rPr>
          <w:rFonts w:ascii="Verdana" w:hAnsi="Verdana"/>
          <w:noProof/>
        </w:rPr>
        <w:t>. Accessed 12 December 2014.</w:t>
      </w:r>
      <w:bookmarkStart w:id="23" w:name="_ENREF_23"/>
      <w:bookmarkEnd w:id="22"/>
    </w:p>
    <w:p w14:paraId="7073194A" w14:textId="77777777" w:rsidR="002D1547" w:rsidRDefault="002D1547" w:rsidP="002D1547">
      <w:pPr>
        <w:pStyle w:val="EndNoteBibliography"/>
        <w:spacing w:after="0"/>
        <w:rPr>
          <w:rFonts w:ascii="Verdana" w:hAnsi="Verdana"/>
          <w:noProof/>
        </w:rPr>
      </w:pPr>
    </w:p>
    <w:p w14:paraId="77C4307B" w14:textId="1DB2215A"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NHS Blackpool. Strengths and weaknesses of SATOD as a measure of success: The Blackpool exper</w:t>
      </w:r>
      <w:r w:rsidR="002D1547">
        <w:rPr>
          <w:rFonts w:ascii="Verdana" w:hAnsi="Verdana"/>
          <w:noProof/>
        </w:rPr>
        <w:t>ience. NHS Blackpool, Blackpool;</w:t>
      </w:r>
      <w:r w:rsidRPr="00AB7779">
        <w:rPr>
          <w:rFonts w:ascii="Verdana" w:hAnsi="Verdana"/>
          <w:noProof/>
        </w:rPr>
        <w:t xml:space="preserve"> 2012. </w:t>
      </w:r>
      <w:r w:rsidRPr="00AB7779">
        <w:rPr>
          <w:rFonts w:ascii="Verdana" w:hAnsi="Verdana"/>
          <w:noProof/>
          <w:lang w:val="en-GB"/>
        </w:rPr>
        <w:t>http://www.docstoc.com/docs/134125119/pres_v3</w:t>
      </w:r>
      <w:r w:rsidRPr="00AB7779">
        <w:rPr>
          <w:rFonts w:ascii="Verdana" w:hAnsi="Verdana"/>
          <w:noProof/>
        </w:rPr>
        <w:t>. Accessed 9 December 2014.</w:t>
      </w:r>
      <w:bookmarkEnd w:id="23"/>
    </w:p>
    <w:p w14:paraId="28504C5E" w14:textId="77777777" w:rsidR="002D1547" w:rsidRDefault="002D1547" w:rsidP="002D1547">
      <w:pPr>
        <w:pStyle w:val="EndNoteBibliography"/>
        <w:spacing w:after="0"/>
        <w:rPr>
          <w:rFonts w:ascii="Verdana" w:hAnsi="Verdana"/>
          <w:noProof/>
        </w:rPr>
      </w:pPr>
    </w:p>
    <w:p w14:paraId="51BB5BB9" w14:textId="7934B07C" w:rsidR="00AB7779" w:rsidRDefault="00E80FC7" w:rsidP="007B4E2B">
      <w:pPr>
        <w:pStyle w:val="EndNoteBibliography"/>
        <w:numPr>
          <w:ilvl w:val="0"/>
          <w:numId w:val="7"/>
        </w:numPr>
        <w:spacing w:after="0"/>
        <w:rPr>
          <w:rFonts w:ascii="Verdana" w:hAnsi="Verdana"/>
          <w:noProof/>
        </w:rPr>
      </w:pPr>
      <w:r w:rsidRPr="00AB7779">
        <w:rPr>
          <w:rFonts w:ascii="Verdana" w:hAnsi="Verdana"/>
          <w:noProof/>
        </w:rPr>
        <w:t>Dietz PM, Homa D, England LJ, Burley K, Tong VT, Dube SR, Bernert JT. Estimates of nondisclosure of cigarette smoking among pregnant and nonpregnant women of reproductive age in the United States. Am J Epidemiol. 2011;</w:t>
      </w:r>
      <w:r w:rsidR="002D1547">
        <w:rPr>
          <w:rFonts w:ascii="Verdana" w:hAnsi="Verdana"/>
          <w:noProof/>
        </w:rPr>
        <w:t xml:space="preserve"> </w:t>
      </w:r>
      <w:r w:rsidRPr="00AB7779">
        <w:rPr>
          <w:rFonts w:ascii="Verdana" w:hAnsi="Verdana"/>
          <w:noProof/>
        </w:rPr>
        <w:t>173(3):355-9</w:t>
      </w:r>
      <w:bookmarkStart w:id="24" w:name="_ENREF_24"/>
    </w:p>
    <w:p w14:paraId="55B63962" w14:textId="77777777" w:rsidR="002D1547" w:rsidRDefault="002D1547" w:rsidP="002D1547">
      <w:pPr>
        <w:pStyle w:val="EndNoteBibliography"/>
        <w:spacing w:after="0"/>
        <w:rPr>
          <w:rFonts w:ascii="Verdana" w:hAnsi="Verdana"/>
          <w:noProof/>
        </w:rPr>
      </w:pPr>
    </w:p>
    <w:p w14:paraId="5FBB9FC4" w14:textId="073BDB08"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Office for National Statistics. Characteristics of Birth 2, England and Wales, 2010. London: Office for National Statistics</w:t>
      </w:r>
      <w:r w:rsidR="002D1547">
        <w:rPr>
          <w:rFonts w:ascii="Verdana" w:hAnsi="Verdana"/>
          <w:noProof/>
        </w:rPr>
        <w:t xml:space="preserve">; </w:t>
      </w:r>
      <w:r w:rsidRPr="00AB7779">
        <w:rPr>
          <w:rFonts w:ascii="Verdana" w:hAnsi="Verdana"/>
          <w:noProof/>
        </w:rPr>
        <w:t>2011</w:t>
      </w:r>
      <w:bookmarkStart w:id="25" w:name="_ENREF_25"/>
      <w:bookmarkEnd w:id="24"/>
      <w:r w:rsidR="002D1547">
        <w:rPr>
          <w:rFonts w:ascii="Verdana" w:hAnsi="Verdana"/>
          <w:noProof/>
        </w:rPr>
        <w:t>.</w:t>
      </w:r>
    </w:p>
    <w:p w14:paraId="1E4E6BCB" w14:textId="77777777" w:rsidR="002D1547" w:rsidRDefault="002D1547" w:rsidP="002D1547">
      <w:pPr>
        <w:pStyle w:val="EndNoteBibliography"/>
        <w:spacing w:after="0"/>
        <w:rPr>
          <w:rFonts w:ascii="Verdana" w:hAnsi="Verdana"/>
          <w:noProof/>
        </w:rPr>
      </w:pPr>
    </w:p>
    <w:p w14:paraId="5C7C44D6" w14:textId="6A68EAEA"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Royal College of Physicians. Passive smoking and children. A report by the Tobacco Advisory Group of the Royal College of Physician. London: Royal College of Physicians</w:t>
      </w:r>
      <w:r w:rsidR="002D1547">
        <w:rPr>
          <w:rFonts w:ascii="Verdana" w:hAnsi="Verdana"/>
          <w:noProof/>
        </w:rPr>
        <w:t xml:space="preserve">; </w:t>
      </w:r>
      <w:r w:rsidRPr="00AB7779">
        <w:rPr>
          <w:rFonts w:ascii="Verdana" w:hAnsi="Verdana"/>
          <w:noProof/>
        </w:rPr>
        <w:t>2010.</w:t>
      </w:r>
      <w:bookmarkStart w:id="26" w:name="_ENREF_26"/>
      <w:bookmarkEnd w:id="25"/>
    </w:p>
    <w:p w14:paraId="5609002E" w14:textId="77777777" w:rsidR="002D1547" w:rsidRDefault="002D1547" w:rsidP="002D1547">
      <w:pPr>
        <w:pStyle w:val="EndNoteBibliography"/>
        <w:spacing w:after="0"/>
        <w:rPr>
          <w:rFonts w:ascii="Verdana" w:hAnsi="Verdana"/>
          <w:noProof/>
        </w:rPr>
      </w:pPr>
    </w:p>
    <w:p w14:paraId="66870E7B" w14:textId="16F427A9" w:rsidR="00AB7779" w:rsidRDefault="005F7B62" w:rsidP="007B4E2B">
      <w:pPr>
        <w:pStyle w:val="EndNoteBibliography"/>
        <w:numPr>
          <w:ilvl w:val="0"/>
          <w:numId w:val="7"/>
        </w:numPr>
        <w:spacing w:after="0"/>
        <w:rPr>
          <w:rFonts w:ascii="Verdana" w:hAnsi="Verdana"/>
          <w:noProof/>
        </w:rPr>
      </w:pPr>
      <w:r w:rsidRPr="00AB7779">
        <w:rPr>
          <w:rFonts w:ascii="Verdana" w:hAnsi="Verdana"/>
          <w:noProof/>
        </w:rPr>
        <w:t xml:space="preserve">Office for National Statistics. Small Area Population Estimates, Mid-2013. </w:t>
      </w:r>
      <w:r w:rsidRPr="00AB7779">
        <w:rPr>
          <w:rFonts w:ascii="Verdana" w:hAnsi="Verdana"/>
          <w:noProof/>
          <w:lang w:val="en-GB"/>
        </w:rPr>
        <w:t>http://www.ons.gov.uk/ons/rel/sape/small-area-population-estimates/mid-2013/index.html</w:t>
      </w:r>
      <w:r w:rsidRPr="00AB7779">
        <w:rPr>
          <w:rFonts w:ascii="Verdana" w:hAnsi="Verdana"/>
          <w:noProof/>
        </w:rPr>
        <w:t>. Accessed 26 January 2014.</w:t>
      </w:r>
      <w:bookmarkStart w:id="27" w:name="_ENREF_27"/>
      <w:bookmarkEnd w:id="26"/>
    </w:p>
    <w:p w14:paraId="2FA23205" w14:textId="77777777" w:rsidR="002D1547" w:rsidRDefault="002D1547" w:rsidP="002D1547">
      <w:pPr>
        <w:pStyle w:val="EndNoteBibliography"/>
        <w:spacing w:after="0"/>
        <w:rPr>
          <w:rFonts w:ascii="Verdana" w:hAnsi="Verdana"/>
          <w:noProof/>
        </w:rPr>
      </w:pPr>
    </w:p>
    <w:p w14:paraId="75CBF330" w14:textId="6643821D" w:rsidR="005F7B62" w:rsidRPr="00AB7779" w:rsidRDefault="005F7B62" w:rsidP="007B4E2B">
      <w:pPr>
        <w:pStyle w:val="EndNoteBibliography"/>
        <w:numPr>
          <w:ilvl w:val="0"/>
          <w:numId w:val="7"/>
        </w:numPr>
        <w:spacing w:after="0"/>
        <w:rPr>
          <w:rFonts w:ascii="Verdana" w:hAnsi="Verdana"/>
          <w:noProof/>
        </w:rPr>
      </w:pPr>
      <w:r w:rsidRPr="00AB7779">
        <w:rPr>
          <w:rFonts w:ascii="Verdana" w:hAnsi="Verdana"/>
          <w:noProof/>
        </w:rPr>
        <w:t xml:space="preserve">ISD Scotland. SMR Datasets: SMR02 - Maternity Inpatient and Day Case. </w:t>
      </w:r>
      <w:r w:rsidRPr="00AB7779">
        <w:rPr>
          <w:rFonts w:ascii="Verdana" w:hAnsi="Verdana"/>
          <w:noProof/>
          <w:lang w:val="en-GB"/>
        </w:rPr>
        <w:t>http://www.ndc.scot.nhs.uk/Data-Dictionary/SMR-Datasets/SMR02-Maternity-Inpatient-and-Day-Case/Current-Pregnancy/</w:t>
      </w:r>
      <w:r w:rsidRPr="00AB7779">
        <w:rPr>
          <w:rFonts w:ascii="Verdana" w:hAnsi="Verdana"/>
          <w:noProof/>
        </w:rPr>
        <w:t>. Accessed 29 January 2015.</w:t>
      </w:r>
      <w:bookmarkEnd w:id="27"/>
    </w:p>
    <w:p w14:paraId="70D64FFC" w14:textId="77777777" w:rsidR="005F7B62" w:rsidRDefault="005F7B62" w:rsidP="007B4E2B">
      <w:pPr>
        <w:pStyle w:val="NoSpacing"/>
        <w:jc w:val="both"/>
        <w:rPr>
          <w:rFonts w:ascii="Verdana" w:hAnsi="Verdana"/>
        </w:rPr>
      </w:pPr>
    </w:p>
    <w:p w14:paraId="1A69DDA5" w14:textId="77777777" w:rsidR="00675E7D" w:rsidRDefault="00675E7D" w:rsidP="007B4E2B">
      <w:pPr>
        <w:pStyle w:val="NoSpacing"/>
        <w:jc w:val="both"/>
        <w:rPr>
          <w:rFonts w:ascii="Verdana" w:hAnsi="Verdana"/>
          <w:b/>
        </w:rPr>
      </w:pPr>
    </w:p>
    <w:p w14:paraId="6A68B1D8" w14:textId="77777777" w:rsidR="00675E7D" w:rsidRDefault="00675E7D" w:rsidP="007B4E2B">
      <w:pPr>
        <w:pStyle w:val="NoSpacing"/>
        <w:jc w:val="both"/>
        <w:rPr>
          <w:rFonts w:ascii="Verdana" w:hAnsi="Verdana"/>
          <w:b/>
        </w:rPr>
      </w:pPr>
    </w:p>
    <w:p w14:paraId="4D7BA06E" w14:textId="77777777" w:rsidR="00675E7D" w:rsidRDefault="00675E7D" w:rsidP="007B4E2B">
      <w:pPr>
        <w:pStyle w:val="NoSpacing"/>
        <w:jc w:val="both"/>
        <w:rPr>
          <w:rFonts w:ascii="Verdana" w:hAnsi="Verdana"/>
          <w:b/>
        </w:rPr>
      </w:pPr>
    </w:p>
    <w:p w14:paraId="1AC68A8F" w14:textId="77777777" w:rsidR="00675E7D" w:rsidRDefault="00675E7D" w:rsidP="007B4E2B">
      <w:pPr>
        <w:pStyle w:val="NoSpacing"/>
        <w:jc w:val="both"/>
        <w:rPr>
          <w:rFonts w:ascii="Verdana" w:hAnsi="Verdana"/>
          <w:b/>
        </w:rPr>
      </w:pPr>
    </w:p>
    <w:p w14:paraId="4DBE4752" w14:textId="77777777" w:rsidR="00675E7D" w:rsidRDefault="00675E7D" w:rsidP="007B4E2B">
      <w:pPr>
        <w:pStyle w:val="NoSpacing"/>
        <w:jc w:val="both"/>
        <w:rPr>
          <w:rFonts w:ascii="Verdana" w:hAnsi="Verdana"/>
          <w:b/>
        </w:rPr>
      </w:pPr>
    </w:p>
    <w:p w14:paraId="17C2F78C" w14:textId="77777777" w:rsidR="00675E7D" w:rsidRDefault="00675E7D" w:rsidP="007B4E2B">
      <w:pPr>
        <w:pStyle w:val="NoSpacing"/>
        <w:jc w:val="both"/>
        <w:rPr>
          <w:rFonts w:ascii="Verdana" w:hAnsi="Verdana"/>
          <w:b/>
        </w:rPr>
      </w:pPr>
    </w:p>
    <w:p w14:paraId="78407830" w14:textId="77777777" w:rsidR="005F7B62" w:rsidRPr="004A6952" w:rsidRDefault="005F7B62" w:rsidP="007B4E2B">
      <w:pPr>
        <w:pStyle w:val="NoSpacing"/>
        <w:jc w:val="both"/>
        <w:rPr>
          <w:rFonts w:ascii="Verdana" w:hAnsi="Verdana"/>
          <w:b/>
        </w:rPr>
      </w:pPr>
      <w:r w:rsidRPr="004A6952">
        <w:rPr>
          <w:rFonts w:ascii="Verdana" w:hAnsi="Verdana"/>
          <w:b/>
        </w:rPr>
        <w:lastRenderedPageBreak/>
        <w:t>Tables:</w:t>
      </w:r>
    </w:p>
    <w:p w14:paraId="5C4FB2C9" w14:textId="77777777" w:rsidR="005F7B62" w:rsidRDefault="005F7B62" w:rsidP="007B4E2B">
      <w:pPr>
        <w:pStyle w:val="NoSpacing"/>
        <w:jc w:val="both"/>
        <w:rPr>
          <w:rFonts w:ascii="Verdana" w:hAnsi="Verdana"/>
        </w:rPr>
      </w:pPr>
    </w:p>
    <w:p w14:paraId="788AB1D7" w14:textId="77777777" w:rsidR="005F7B62" w:rsidRDefault="005F7B62" w:rsidP="007B4E2B">
      <w:pPr>
        <w:pStyle w:val="NoSpacing"/>
        <w:jc w:val="both"/>
        <w:rPr>
          <w:rFonts w:ascii="Verdana" w:hAnsi="Verdana"/>
        </w:rPr>
      </w:pPr>
    </w:p>
    <w:p w14:paraId="7BD589BA" w14:textId="77777777" w:rsidR="005F7B62" w:rsidRDefault="005F7B62" w:rsidP="007B4E2B">
      <w:pPr>
        <w:pStyle w:val="NoSpacing"/>
        <w:jc w:val="both"/>
        <w:rPr>
          <w:rFonts w:ascii="Verdana" w:hAnsi="Verdana"/>
        </w:rPr>
      </w:pPr>
      <w:r>
        <w:rPr>
          <w:rFonts w:ascii="Verdana" w:hAnsi="Verdana"/>
        </w:rPr>
        <w:t>Table 1: Parameter estimates from the MCMC models built using IFS data</w:t>
      </w:r>
    </w:p>
    <w:p w14:paraId="4A1191E4" w14:textId="77777777" w:rsidR="005F7B62" w:rsidRDefault="005F7B62" w:rsidP="007B4E2B">
      <w:pPr>
        <w:pStyle w:val="NoSpacing"/>
        <w:jc w:val="both"/>
        <w:rPr>
          <w:rFonts w:ascii="Verdana" w:hAnsi="Verdana"/>
        </w:rPr>
      </w:pPr>
    </w:p>
    <w:tbl>
      <w:tblPr>
        <w:tblStyle w:val="TableGrid"/>
        <w:tblW w:w="9242" w:type="dxa"/>
        <w:tblLayout w:type="fixed"/>
        <w:tblLook w:val="04A0" w:firstRow="1" w:lastRow="0" w:firstColumn="1" w:lastColumn="0" w:noHBand="0" w:noVBand="1"/>
      </w:tblPr>
      <w:tblGrid>
        <w:gridCol w:w="2553"/>
        <w:gridCol w:w="1672"/>
        <w:gridCol w:w="1672"/>
        <w:gridCol w:w="1672"/>
        <w:gridCol w:w="1673"/>
      </w:tblGrid>
      <w:tr w:rsidR="005F7B62" w:rsidRPr="00E32810" w14:paraId="3ABFCD90" w14:textId="77777777" w:rsidTr="007B4E2B">
        <w:trPr>
          <w:trHeight w:val="300"/>
        </w:trPr>
        <w:tc>
          <w:tcPr>
            <w:tcW w:w="2553" w:type="dxa"/>
            <w:noWrap/>
            <w:vAlign w:val="center"/>
          </w:tcPr>
          <w:p w14:paraId="1F16B245" w14:textId="77777777" w:rsidR="005F7B62" w:rsidRPr="00E32810" w:rsidRDefault="005F7B62" w:rsidP="007B4E2B">
            <w:pPr>
              <w:rPr>
                <w:rFonts w:ascii="Calibri" w:eastAsia="Times New Roman" w:hAnsi="Calibri" w:cs="Times New Roman"/>
                <w:color w:val="000000"/>
                <w:lang w:eastAsia="en-GB"/>
              </w:rPr>
            </w:pPr>
          </w:p>
        </w:tc>
        <w:tc>
          <w:tcPr>
            <w:tcW w:w="3344" w:type="dxa"/>
            <w:gridSpan w:val="2"/>
            <w:noWrap/>
            <w:vAlign w:val="center"/>
          </w:tcPr>
          <w:p w14:paraId="44C1BDC2" w14:textId="77777777" w:rsidR="005F7B62" w:rsidRPr="004A6D99" w:rsidRDefault="005F7B62" w:rsidP="007B4E2B">
            <w:pPr>
              <w:jc w:val="center"/>
              <w:rPr>
                <w:rFonts w:ascii="Calibri" w:eastAsia="Times New Roman" w:hAnsi="Calibri" w:cs="Times New Roman"/>
                <w:b/>
                <w:color w:val="000000"/>
                <w:lang w:eastAsia="en-GB"/>
              </w:rPr>
            </w:pPr>
            <w:r w:rsidRPr="004A6D99">
              <w:rPr>
                <w:rFonts w:ascii="Calibri" w:eastAsia="Times New Roman" w:hAnsi="Calibri" w:cs="Times New Roman"/>
                <w:b/>
                <w:color w:val="000000"/>
                <w:lang w:eastAsia="en-GB"/>
              </w:rPr>
              <w:t xml:space="preserve">Association with smoking </w:t>
            </w:r>
            <w:r>
              <w:rPr>
                <w:rFonts w:ascii="Calibri" w:eastAsia="Times New Roman" w:hAnsi="Calibri" w:cs="Times New Roman"/>
                <w:b/>
                <w:color w:val="000000"/>
                <w:lang w:eastAsia="en-GB"/>
              </w:rPr>
              <w:t>ever</w:t>
            </w:r>
            <w:r w:rsidRPr="004A6D99">
              <w:rPr>
                <w:rFonts w:ascii="Calibri" w:eastAsia="Times New Roman" w:hAnsi="Calibri" w:cs="Times New Roman"/>
                <w:b/>
                <w:color w:val="000000"/>
                <w:lang w:eastAsia="en-GB"/>
              </w:rPr>
              <w:t xml:space="preserve"> during pregnancy</w:t>
            </w:r>
          </w:p>
        </w:tc>
        <w:tc>
          <w:tcPr>
            <w:tcW w:w="3345" w:type="dxa"/>
            <w:gridSpan w:val="2"/>
            <w:vAlign w:val="center"/>
          </w:tcPr>
          <w:p w14:paraId="57999A42" w14:textId="77777777" w:rsidR="005F7B62" w:rsidRPr="004A6D99" w:rsidRDefault="005F7B62" w:rsidP="007B4E2B">
            <w:pPr>
              <w:jc w:val="center"/>
              <w:rPr>
                <w:rFonts w:ascii="Calibri" w:eastAsia="Times New Roman" w:hAnsi="Calibri" w:cs="Times New Roman"/>
                <w:b/>
                <w:color w:val="000000"/>
                <w:lang w:eastAsia="en-GB"/>
              </w:rPr>
            </w:pPr>
            <w:r w:rsidRPr="004A6D99">
              <w:rPr>
                <w:rFonts w:ascii="Calibri" w:eastAsia="Times New Roman" w:hAnsi="Calibri" w:cs="Times New Roman"/>
                <w:b/>
                <w:color w:val="000000"/>
                <w:lang w:eastAsia="en-GB"/>
              </w:rPr>
              <w:t>Association with smoking at delivery</w:t>
            </w:r>
          </w:p>
        </w:tc>
      </w:tr>
      <w:tr w:rsidR="005F7B62" w:rsidRPr="00E32810" w14:paraId="70C0A174" w14:textId="77777777" w:rsidTr="007B4E2B">
        <w:trPr>
          <w:trHeight w:val="300"/>
        </w:trPr>
        <w:tc>
          <w:tcPr>
            <w:tcW w:w="2553" w:type="dxa"/>
            <w:noWrap/>
            <w:vAlign w:val="center"/>
            <w:hideMark/>
          </w:tcPr>
          <w:p w14:paraId="6B3DE341" w14:textId="77777777" w:rsidR="005F7B62" w:rsidRPr="00E32810" w:rsidRDefault="005F7B62" w:rsidP="007B4E2B">
            <w:pPr>
              <w:rPr>
                <w:rFonts w:ascii="Calibri" w:eastAsia="Times New Roman" w:hAnsi="Calibri" w:cs="Times New Roman"/>
                <w:color w:val="000000"/>
                <w:lang w:eastAsia="en-GB"/>
              </w:rPr>
            </w:pPr>
          </w:p>
        </w:tc>
        <w:tc>
          <w:tcPr>
            <w:tcW w:w="1672" w:type="dxa"/>
            <w:noWrap/>
            <w:vAlign w:val="center"/>
          </w:tcPr>
          <w:p w14:paraId="40441B91" w14:textId="77777777" w:rsidR="005F7B62" w:rsidRPr="00E32810" w:rsidRDefault="005F7B62" w:rsidP="007B4E2B">
            <w:pPr>
              <w:jc w:val="center"/>
              <w:rPr>
                <w:rFonts w:ascii="Calibri" w:eastAsia="Times New Roman" w:hAnsi="Calibri" w:cs="Times New Roman"/>
                <w:b/>
                <w:color w:val="000000"/>
                <w:lang w:eastAsia="en-GB"/>
              </w:rPr>
            </w:pPr>
            <w:r w:rsidRPr="00600019">
              <w:rPr>
                <w:rFonts w:ascii="Calibri" w:eastAsia="Times New Roman" w:hAnsi="Calibri" w:cs="Times New Roman"/>
                <w:b/>
                <w:color w:val="000000"/>
                <w:lang w:eastAsia="en-GB"/>
              </w:rPr>
              <w:t>β</w:t>
            </w:r>
            <w:r>
              <w:rPr>
                <w:rFonts w:ascii="Calibri" w:eastAsia="Times New Roman" w:hAnsi="Calibri" w:cs="Times New Roman"/>
                <w:b/>
                <w:color w:val="000000"/>
                <w:lang w:eastAsia="en-GB"/>
              </w:rPr>
              <w:t xml:space="preserve"> (SE)</w:t>
            </w:r>
          </w:p>
        </w:tc>
        <w:tc>
          <w:tcPr>
            <w:tcW w:w="1672" w:type="dxa"/>
            <w:vAlign w:val="center"/>
          </w:tcPr>
          <w:p w14:paraId="0FE25355" w14:textId="77777777" w:rsidR="005F7B62" w:rsidRPr="00E32810" w:rsidRDefault="005F7B62" w:rsidP="007B4E2B">
            <w:pPr>
              <w:jc w:val="center"/>
              <w:rPr>
                <w:rFonts w:ascii="Calibri" w:eastAsia="Times New Roman" w:hAnsi="Calibri" w:cs="Times New Roman"/>
                <w:b/>
                <w:color w:val="000000"/>
                <w:lang w:eastAsia="en-GB"/>
              </w:rPr>
            </w:pPr>
            <w:r>
              <w:rPr>
                <w:rFonts w:ascii="Calibri" w:eastAsia="Times New Roman" w:hAnsi="Calibri" w:cs="Times New Roman"/>
                <w:b/>
                <w:color w:val="000000"/>
                <w:lang w:eastAsia="en-GB"/>
              </w:rPr>
              <w:t>OR (95% CI)</w:t>
            </w:r>
          </w:p>
        </w:tc>
        <w:tc>
          <w:tcPr>
            <w:tcW w:w="1672" w:type="dxa"/>
            <w:vAlign w:val="center"/>
          </w:tcPr>
          <w:p w14:paraId="78A3AC8E" w14:textId="77777777" w:rsidR="005F7B62" w:rsidRPr="00E32810" w:rsidRDefault="005F7B62" w:rsidP="007B4E2B">
            <w:pPr>
              <w:jc w:val="center"/>
              <w:rPr>
                <w:rFonts w:ascii="Calibri" w:eastAsia="Times New Roman" w:hAnsi="Calibri" w:cs="Times New Roman"/>
                <w:b/>
                <w:color w:val="000000"/>
                <w:lang w:eastAsia="en-GB"/>
              </w:rPr>
            </w:pPr>
            <w:r>
              <w:rPr>
                <w:rFonts w:ascii="Calibri" w:eastAsia="Times New Roman" w:hAnsi="Calibri" w:cs="Times New Roman"/>
                <w:b/>
                <w:color w:val="000000"/>
                <w:lang w:eastAsia="en-GB"/>
              </w:rPr>
              <w:t>Β (SE)</w:t>
            </w:r>
          </w:p>
        </w:tc>
        <w:tc>
          <w:tcPr>
            <w:tcW w:w="1673" w:type="dxa"/>
            <w:vAlign w:val="center"/>
          </w:tcPr>
          <w:p w14:paraId="3A1FCB22" w14:textId="77777777" w:rsidR="005F7B62" w:rsidRPr="00E32810" w:rsidRDefault="005F7B62" w:rsidP="007B4E2B">
            <w:pPr>
              <w:jc w:val="center"/>
              <w:rPr>
                <w:rFonts w:ascii="Calibri" w:eastAsia="Times New Roman" w:hAnsi="Calibri" w:cs="Times New Roman"/>
                <w:b/>
                <w:color w:val="000000"/>
                <w:lang w:eastAsia="en-GB"/>
              </w:rPr>
            </w:pPr>
            <w:r>
              <w:rPr>
                <w:rFonts w:ascii="Calibri" w:eastAsia="Times New Roman" w:hAnsi="Calibri" w:cs="Times New Roman"/>
                <w:b/>
                <w:color w:val="000000"/>
                <w:lang w:eastAsia="en-GB"/>
              </w:rPr>
              <w:t>OR (95% CI)</w:t>
            </w:r>
          </w:p>
        </w:tc>
      </w:tr>
      <w:tr w:rsidR="005F7B62" w:rsidRPr="00E32810" w14:paraId="52BCFC4E" w14:textId="77777777" w:rsidTr="007B4E2B">
        <w:trPr>
          <w:trHeight w:val="300"/>
        </w:trPr>
        <w:tc>
          <w:tcPr>
            <w:tcW w:w="9242" w:type="dxa"/>
            <w:gridSpan w:val="5"/>
            <w:noWrap/>
            <w:vAlign w:val="center"/>
          </w:tcPr>
          <w:p w14:paraId="28FED1A2" w14:textId="77777777" w:rsidR="005F7B62" w:rsidRPr="00C7229A" w:rsidRDefault="005F7B62" w:rsidP="007B4E2B">
            <w:pPr>
              <w:rPr>
                <w:rFonts w:ascii="Calibri" w:eastAsia="Times New Roman" w:hAnsi="Calibri" w:cs="Times New Roman"/>
                <w:b/>
                <w:color w:val="000000"/>
                <w:lang w:eastAsia="en-GB"/>
              </w:rPr>
            </w:pPr>
            <w:r w:rsidRPr="00C7229A">
              <w:rPr>
                <w:rFonts w:ascii="Calibri" w:eastAsia="Times New Roman" w:hAnsi="Calibri" w:cs="Times New Roman"/>
                <w:b/>
                <w:color w:val="000000"/>
                <w:lang w:eastAsia="en-GB"/>
              </w:rPr>
              <w:t>Age group</w:t>
            </w:r>
            <w:r>
              <w:rPr>
                <w:rFonts w:ascii="Calibri" w:eastAsia="Times New Roman" w:hAnsi="Calibri" w:cs="Times New Roman"/>
                <w:b/>
                <w:color w:val="000000"/>
                <w:lang w:eastAsia="en-GB"/>
              </w:rPr>
              <w:t xml:space="preserve"> (baseline=30+ years)</w:t>
            </w:r>
          </w:p>
        </w:tc>
      </w:tr>
      <w:tr w:rsidR="005F7B62" w:rsidRPr="00E32810" w14:paraId="79900AB2" w14:textId="77777777" w:rsidTr="007B4E2B">
        <w:trPr>
          <w:trHeight w:val="300"/>
        </w:trPr>
        <w:tc>
          <w:tcPr>
            <w:tcW w:w="2553" w:type="dxa"/>
            <w:noWrap/>
            <w:vAlign w:val="center"/>
          </w:tcPr>
          <w:p w14:paraId="37282EFA" w14:textId="77777777" w:rsidR="005F7B62" w:rsidRPr="00E32810" w:rsidRDefault="005F7B62" w:rsidP="007B4E2B">
            <w:pPr>
              <w:rPr>
                <w:rFonts w:ascii="Calibri" w:eastAsia="Times New Roman" w:hAnsi="Calibri" w:cs="Times New Roman"/>
                <w:color w:val="000000"/>
                <w:lang w:eastAsia="en-GB"/>
              </w:rPr>
            </w:pPr>
            <w:r w:rsidRPr="00E32810">
              <w:rPr>
                <w:rFonts w:ascii="Calibri" w:eastAsia="Times New Roman" w:hAnsi="Calibri" w:cs="Times New Roman"/>
                <w:color w:val="000000"/>
                <w:lang w:eastAsia="en-GB"/>
              </w:rPr>
              <w:t>25-29</w:t>
            </w:r>
          </w:p>
        </w:tc>
        <w:tc>
          <w:tcPr>
            <w:tcW w:w="1672" w:type="dxa"/>
            <w:noWrap/>
            <w:vAlign w:val="center"/>
          </w:tcPr>
          <w:p w14:paraId="1B9F0337" w14:textId="77777777" w:rsidR="005F7B62" w:rsidRDefault="005F7B62" w:rsidP="007B4E2B">
            <w:pPr>
              <w:jc w:val="center"/>
              <w:rPr>
                <w:rFonts w:ascii="Calibri" w:hAnsi="Calibri"/>
                <w:color w:val="000000"/>
              </w:rPr>
            </w:pPr>
            <w:r>
              <w:rPr>
                <w:rFonts w:ascii="Calibri" w:hAnsi="Calibri"/>
                <w:color w:val="000000"/>
              </w:rPr>
              <w:t>0.500 (0.075)</w:t>
            </w:r>
          </w:p>
        </w:tc>
        <w:tc>
          <w:tcPr>
            <w:tcW w:w="1672" w:type="dxa"/>
            <w:vAlign w:val="center"/>
          </w:tcPr>
          <w:p w14:paraId="3E4B1904" w14:textId="77777777" w:rsidR="005F7B62" w:rsidRDefault="005F7B62" w:rsidP="007B4E2B">
            <w:pPr>
              <w:jc w:val="center"/>
              <w:rPr>
                <w:rFonts w:ascii="Calibri" w:hAnsi="Calibri"/>
                <w:color w:val="000000"/>
              </w:rPr>
            </w:pPr>
            <w:r>
              <w:rPr>
                <w:rFonts w:ascii="Calibri" w:hAnsi="Calibri"/>
                <w:color w:val="000000"/>
              </w:rPr>
              <w:t>1.73 (1.50-2.01)</w:t>
            </w:r>
          </w:p>
        </w:tc>
        <w:tc>
          <w:tcPr>
            <w:tcW w:w="1672" w:type="dxa"/>
            <w:vAlign w:val="center"/>
          </w:tcPr>
          <w:p w14:paraId="620B8598" w14:textId="77777777" w:rsidR="005F7B62" w:rsidRDefault="005F7B62" w:rsidP="007B4E2B">
            <w:pPr>
              <w:jc w:val="center"/>
              <w:rPr>
                <w:rFonts w:ascii="Calibri" w:hAnsi="Calibri"/>
                <w:color w:val="000000"/>
              </w:rPr>
            </w:pPr>
            <w:r>
              <w:rPr>
                <w:rFonts w:ascii="Calibri" w:hAnsi="Calibri"/>
                <w:color w:val="000000"/>
              </w:rPr>
              <w:t>0.366 (0.104)</w:t>
            </w:r>
          </w:p>
        </w:tc>
        <w:tc>
          <w:tcPr>
            <w:tcW w:w="1673" w:type="dxa"/>
            <w:vAlign w:val="center"/>
          </w:tcPr>
          <w:p w14:paraId="6F10FB92" w14:textId="77777777" w:rsidR="005F7B62" w:rsidRDefault="005F7B62" w:rsidP="007B4E2B">
            <w:pPr>
              <w:jc w:val="center"/>
              <w:rPr>
                <w:rFonts w:ascii="Calibri" w:hAnsi="Calibri"/>
                <w:color w:val="000000"/>
              </w:rPr>
            </w:pPr>
            <w:r>
              <w:rPr>
                <w:rFonts w:ascii="Calibri" w:hAnsi="Calibri"/>
                <w:color w:val="000000"/>
              </w:rPr>
              <w:t>1.44 (1.18-1.77)</w:t>
            </w:r>
          </w:p>
        </w:tc>
      </w:tr>
      <w:tr w:rsidR="005F7B62" w:rsidRPr="00E32810" w14:paraId="2B548D26" w14:textId="77777777" w:rsidTr="007B4E2B">
        <w:trPr>
          <w:trHeight w:val="300"/>
        </w:trPr>
        <w:tc>
          <w:tcPr>
            <w:tcW w:w="2553" w:type="dxa"/>
            <w:noWrap/>
            <w:vAlign w:val="center"/>
          </w:tcPr>
          <w:p w14:paraId="25F735D8" w14:textId="77777777" w:rsidR="005F7B62" w:rsidRPr="00E32810" w:rsidRDefault="005F7B62" w:rsidP="007B4E2B">
            <w:pPr>
              <w:rPr>
                <w:rFonts w:ascii="Calibri" w:eastAsia="Times New Roman" w:hAnsi="Calibri" w:cs="Times New Roman"/>
                <w:color w:val="000000"/>
                <w:lang w:eastAsia="en-GB"/>
              </w:rPr>
            </w:pPr>
            <w:r w:rsidRPr="00E32810">
              <w:rPr>
                <w:rFonts w:ascii="Calibri" w:eastAsia="Times New Roman" w:hAnsi="Calibri" w:cs="Times New Roman"/>
                <w:color w:val="000000"/>
                <w:lang w:eastAsia="en-GB"/>
              </w:rPr>
              <w:t>20-24</w:t>
            </w:r>
          </w:p>
        </w:tc>
        <w:tc>
          <w:tcPr>
            <w:tcW w:w="1672" w:type="dxa"/>
            <w:noWrap/>
            <w:vAlign w:val="center"/>
          </w:tcPr>
          <w:p w14:paraId="17D95798" w14:textId="77777777" w:rsidR="005F7B62" w:rsidRDefault="005F7B62" w:rsidP="007B4E2B">
            <w:pPr>
              <w:jc w:val="center"/>
              <w:rPr>
                <w:rFonts w:ascii="Calibri" w:hAnsi="Calibri"/>
                <w:color w:val="000000"/>
              </w:rPr>
            </w:pPr>
            <w:r>
              <w:rPr>
                <w:rFonts w:ascii="Calibri" w:hAnsi="Calibri"/>
                <w:color w:val="000000"/>
              </w:rPr>
              <w:t>1.132 (0.095)</w:t>
            </w:r>
          </w:p>
        </w:tc>
        <w:tc>
          <w:tcPr>
            <w:tcW w:w="1672" w:type="dxa"/>
            <w:vAlign w:val="center"/>
          </w:tcPr>
          <w:p w14:paraId="08021792" w14:textId="77777777" w:rsidR="005F7B62" w:rsidRDefault="005F7B62" w:rsidP="007B4E2B">
            <w:pPr>
              <w:jc w:val="center"/>
              <w:rPr>
                <w:rFonts w:ascii="Calibri" w:hAnsi="Calibri"/>
                <w:color w:val="000000"/>
              </w:rPr>
            </w:pPr>
            <w:r>
              <w:rPr>
                <w:rFonts w:ascii="Calibri" w:hAnsi="Calibri"/>
                <w:color w:val="000000"/>
              </w:rPr>
              <w:t>3.10 (2.57-3.74)</w:t>
            </w:r>
          </w:p>
        </w:tc>
        <w:tc>
          <w:tcPr>
            <w:tcW w:w="1672" w:type="dxa"/>
            <w:vAlign w:val="center"/>
          </w:tcPr>
          <w:p w14:paraId="534EFC1A" w14:textId="77777777" w:rsidR="005F7B62" w:rsidRDefault="005F7B62" w:rsidP="007B4E2B">
            <w:pPr>
              <w:jc w:val="center"/>
              <w:rPr>
                <w:rFonts w:ascii="Calibri" w:hAnsi="Calibri"/>
                <w:color w:val="000000"/>
              </w:rPr>
            </w:pPr>
            <w:r>
              <w:rPr>
                <w:rFonts w:ascii="Calibri" w:hAnsi="Calibri"/>
                <w:color w:val="000000"/>
              </w:rPr>
              <w:t>0.967 (0.117)</w:t>
            </w:r>
          </w:p>
        </w:tc>
        <w:tc>
          <w:tcPr>
            <w:tcW w:w="1673" w:type="dxa"/>
            <w:vAlign w:val="center"/>
          </w:tcPr>
          <w:p w14:paraId="182A56E7" w14:textId="77777777" w:rsidR="005F7B62" w:rsidRDefault="005F7B62" w:rsidP="007B4E2B">
            <w:pPr>
              <w:jc w:val="center"/>
              <w:rPr>
                <w:rFonts w:ascii="Calibri" w:hAnsi="Calibri"/>
                <w:color w:val="000000"/>
              </w:rPr>
            </w:pPr>
            <w:r>
              <w:rPr>
                <w:rFonts w:ascii="Calibri" w:hAnsi="Calibri"/>
                <w:color w:val="000000"/>
              </w:rPr>
              <w:t>2.63 (2.09-3.31)</w:t>
            </w:r>
          </w:p>
        </w:tc>
      </w:tr>
      <w:tr w:rsidR="005F7B62" w:rsidRPr="00E32810" w14:paraId="2AA1947A" w14:textId="77777777" w:rsidTr="007B4E2B">
        <w:trPr>
          <w:trHeight w:val="300"/>
        </w:trPr>
        <w:tc>
          <w:tcPr>
            <w:tcW w:w="2553" w:type="dxa"/>
            <w:noWrap/>
            <w:vAlign w:val="center"/>
          </w:tcPr>
          <w:p w14:paraId="65B7AB3E" w14:textId="77777777" w:rsidR="005F7B62" w:rsidRPr="00E32810" w:rsidRDefault="005F7B62" w:rsidP="007B4E2B">
            <w:pPr>
              <w:rPr>
                <w:rFonts w:ascii="Calibri" w:eastAsia="Times New Roman" w:hAnsi="Calibri" w:cs="Times New Roman"/>
                <w:color w:val="000000"/>
                <w:lang w:eastAsia="en-GB"/>
              </w:rPr>
            </w:pPr>
            <w:r w:rsidRPr="00E32810">
              <w:rPr>
                <w:rFonts w:ascii="Calibri" w:eastAsia="Times New Roman" w:hAnsi="Calibri" w:cs="Times New Roman"/>
                <w:color w:val="000000"/>
                <w:lang w:eastAsia="en-GB"/>
              </w:rPr>
              <w:t>Under 20</w:t>
            </w:r>
          </w:p>
        </w:tc>
        <w:tc>
          <w:tcPr>
            <w:tcW w:w="1672" w:type="dxa"/>
            <w:noWrap/>
            <w:vAlign w:val="center"/>
          </w:tcPr>
          <w:p w14:paraId="52314B74" w14:textId="77777777" w:rsidR="005F7B62" w:rsidRDefault="005F7B62" w:rsidP="007B4E2B">
            <w:pPr>
              <w:jc w:val="center"/>
              <w:rPr>
                <w:rFonts w:ascii="Calibri" w:hAnsi="Calibri"/>
                <w:color w:val="000000"/>
              </w:rPr>
            </w:pPr>
            <w:r>
              <w:rPr>
                <w:rFonts w:ascii="Calibri" w:hAnsi="Calibri"/>
                <w:color w:val="000000"/>
              </w:rPr>
              <w:t>1.647 (0.176)</w:t>
            </w:r>
          </w:p>
        </w:tc>
        <w:tc>
          <w:tcPr>
            <w:tcW w:w="1672" w:type="dxa"/>
            <w:vAlign w:val="center"/>
          </w:tcPr>
          <w:p w14:paraId="48288A7D" w14:textId="77777777" w:rsidR="005F7B62" w:rsidRDefault="005F7B62" w:rsidP="007B4E2B">
            <w:pPr>
              <w:jc w:val="center"/>
              <w:rPr>
                <w:rFonts w:ascii="Calibri" w:hAnsi="Calibri"/>
                <w:color w:val="000000"/>
              </w:rPr>
            </w:pPr>
            <w:r>
              <w:rPr>
                <w:rFonts w:ascii="Calibri" w:hAnsi="Calibri"/>
                <w:color w:val="000000"/>
              </w:rPr>
              <w:t>5.19 (3.68-7.33)</w:t>
            </w:r>
          </w:p>
        </w:tc>
        <w:tc>
          <w:tcPr>
            <w:tcW w:w="1672" w:type="dxa"/>
            <w:vAlign w:val="center"/>
          </w:tcPr>
          <w:p w14:paraId="5655C615" w14:textId="77777777" w:rsidR="005F7B62" w:rsidRDefault="005F7B62" w:rsidP="007B4E2B">
            <w:pPr>
              <w:jc w:val="center"/>
              <w:rPr>
                <w:rFonts w:ascii="Calibri" w:hAnsi="Calibri"/>
                <w:color w:val="000000"/>
              </w:rPr>
            </w:pPr>
            <w:r>
              <w:rPr>
                <w:rFonts w:ascii="Calibri" w:hAnsi="Calibri"/>
                <w:color w:val="000000"/>
              </w:rPr>
              <w:t>1.445 (0.194)</w:t>
            </w:r>
          </w:p>
        </w:tc>
        <w:tc>
          <w:tcPr>
            <w:tcW w:w="1673" w:type="dxa"/>
            <w:vAlign w:val="center"/>
          </w:tcPr>
          <w:p w14:paraId="339D0A51" w14:textId="77777777" w:rsidR="005F7B62" w:rsidRDefault="005F7B62" w:rsidP="007B4E2B">
            <w:pPr>
              <w:jc w:val="center"/>
              <w:rPr>
                <w:rFonts w:ascii="Calibri" w:hAnsi="Calibri"/>
                <w:color w:val="000000"/>
              </w:rPr>
            </w:pPr>
            <w:r>
              <w:rPr>
                <w:rFonts w:ascii="Calibri" w:hAnsi="Calibri"/>
                <w:color w:val="000000"/>
              </w:rPr>
              <w:t>4.24 (2.90-6.20)</w:t>
            </w:r>
          </w:p>
        </w:tc>
      </w:tr>
      <w:tr w:rsidR="005F7B62" w:rsidRPr="00E32810" w14:paraId="41703D02" w14:textId="77777777" w:rsidTr="007B4E2B">
        <w:trPr>
          <w:trHeight w:val="300"/>
        </w:trPr>
        <w:tc>
          <w:tcPr>
            <w:tcW w:w="9242" w:type="dxa"/>
            <w:gridSpan w:val="5"/>
            <w:noWrap/>
            <w:vAlign w:val="center"/>
          </w:tcPr>
          <w:p w14:paraId="13C9D800" w14:textId="77777777" w:rsidR="005F7B62" w:rsidRPr="00C7229A" w:rsidRDefault="005F7B62" w:rsidP="007B4E2B">
            <w:pPr>
              <w:rPr>
                <w:rFonts w:ascii="Calibri" w:eastAsia="Times New Roman" w:hAnsi="Calibri" w:cs="Times New Roman"/>
                <w:b/>
                <w:color w:val="000000"/>
                <w:lang w:eastAsia="en-GB"/>
              </w:rPr>
            </w:pPr>
            <w:r w:rsidRPr="00C7229A">
              <w:rPr>
                <w:rFonts w:ascii="Calibri" w:eastAsia="Times New Roman" w:hAnsi="Calibri" w:cs="Times New Roman"/>
                <w:b/>
                <w:color w:val="000000"/>
                <w:lang w:eastAsia="en-GB"/>
              </w:rPr>
              <w:t>Quintile of Index of Multiple Deprivation</w:t>
            </w:r>
            <w:r>
              <w:rPr>
                <w:rFonts w:ascii="Calibri" w:eastAsia="Times New Roman" w:hAnsi="Calibri" w:cs="Times New Roman"/>
                <w:b/>
                <w:color w:val="000000"/>
                <w:lang w:eastAsia="en-GB"/>
              </w:rPr>
              <w:t xml:space="preserve"> (baseline= 1 most deprived)</w:t>
            </w:r>
          </w:p>
        </w:tc>
      </w:tr>
      <w:tr w:rsidR="005F7B62" w:rsidRPr="00E32810" w14:paraId="02740B4F" w14:textId="77777777" w:rsidTr="007B4E2B">
        <w:trPr>
          <w:trHeight w:val="300"/>
        </w:trPr>
        <w:tc>
          <w:tcPr>
            <w:tcW w:w="2553" w:type="dxa"/>
            <w:noWrap/>
            <w:vAlign w:val="center"/>
            <w:hideMark/>
          </w:tcPr>
          <w:p w14:paraId="09E15ABC" w14:textId="77777777" w:rsidR="005F7B62" w:rsidRPr="00E32810" w:rsidRDefault="005F7B62" w:rsidP="007B4E2B">
            <w:pPr>
              <w:rPr>
                <w:rFonts w:ascii="Calibri" w:eastAsia="Times New Roman" w:hAnsi="Calibri" w:cs="Times New Roman"/>
                <w:color w:val="000000"/>
                <w:lang w:eastAsia="en-GB"/>
              </w:rPr>
            </w:pPr>
            <w:r w:rsidRPr="00E32810">
              <w:rPr>
                <w:rFonts w:ascii="Calibri" w:eastAsia="Times New Roman" w:hAnsi="Calibri" w:cs="Times New Roman"/>
                <w:color w:val="000000"/>
                <w:lang w:eastAsia="en-GB"/>
              </w:rPr>
              <w:t>2</w:t>
            </w:r>
          </w:p>
        </w:tc>
        <w:tc>
          <w:tcPr>
            <w:tcW w:w="1672" w:type="dxa"/>
            <w:noWrap/>
            <w:vAlign w:val="center"/>
          </w:tcPr>
          <w:p w14:paraId="25628C14" w14:textId="77777777" w:rsidR="005F7B62" w:rsidRDefault="005F7B62" w:rsidP="007B4E2B">
            <w:pPr>
              <w:jc w:val="center"/>
              <w:rPr>
                <w:rFonts w:ascii="Calibri" w:hAnsi="Calibri"/>
                <w:color w:val="000000"/>
              </w:rPr>
            </w:pPr>
            <w:r>
              <w:rPr>
                <w:rFonts w:ascii="Calibri" w:hAnsi="Calibri"/>
                <w:color w:val="000000"/>
              </w:rPr>
              <w:t>-0.254 (0.089)</w:t>
            </w:r>
          </w:p>
        </w:tc>
        <w:tc>
          <w:tcPr>
            <w:tcW w:w="1672" w:type="dxa"/>
            <w:vAlign w:val="center"/>
          </w:tcPr>
          <w:p w14:paraId="50A4B46E" w14:textId="77777777" w:rsidR="005F7B62" w:rsidRDefault="005F7B62" w:rsidP="007B4E2B">
            <w:pPr>
              <w:jc w:val="center"/>
              <w:rPr>
                <w:rFonts w:ascii="Calibri" w:hAnsi="Calibri"/>
                <w:color w:val="000000"/>
              </w:rPr>
            </w:pPr>
            <w:r>
              <w:rPr>
                <w:rFonts w:ascii="Calibri" w:hAnsi="Calibri"/>
                <w:color w:val="000000"/>
              </w:rPr>
              <w:t>0.78 (0.65-0.92)</w:t>
            </w:r>
          </w:p>
        </w:tc>
        <w:tc>
          <w:tcPr>
            <w:tcW w:w="1672" w:type="dxa"/>
            <w:vAlign w:val="center"/>
          </w:tcPr>
          <w:p w14:paraId="59AABFA5" w14:textId="77777777" w:rsidR="005F7B62" w:rsidRDefault="005F7B62" w:rsidP="007B4E2B">
            <w:pPr>
              <w:jc w:val="center"/>
              <w:rPr>
                <w:rFonts w:ascii="Calibri" w:hAnsi="Calibri"/>
                <w:color w:val="000000"/>
              </w:rPr>
            </w:pPr>
            <w:r>
              <w:rPr>
                <w:rFonts w:ascii="Calibri" w:hAnsi="Calibri"/>
                <w:color w:val="000000"/>
              </w:rPr>
              <w:t>-0.446 (0.110)</w:t>
            </w:r>
          </w:p>
        </w:tc>
        <w:tc>
          <w:tcPr>
            <w:tcW w:w="1673" w:type="dxa"/>
            <w:vAlign w:val="center"/>
          </w:tcPr>
          <w:p w14:paraId="0686F510" w14:textId="77777777" w:rsidR="005F7B62" w:rsidRDefault="005F7B62" w:rsidP="007B4E2B">
            <w:pPr>
              <w:jc w:val="center"/>
              <w:rPr>
                <w:rFonts w:ascii="Calibri" w:hAnsi="Calibri"/>
                <w:color w:val="000000"/>
              </w:rPr>
            </w:pPr>
            <w:r>
              <w:rPr>
                <w:rFonts w:ascii="Calibri" w:hAnsi="Calibri"/>
                <w:color w:val="000000"/>
              </w:rPr>
              <w:t>0.64 (0.52-0.79)</w:t>
            </w:r>
          </w:p>
        </w:tc>
      </w:tr>
      <w:tr w:rsidR="005F7B62" w:rsidRPr="00E32810" w14:paraId="2B45C8D5" w14:textId="77777777" w:rsidTr="007B4E2B">
        <w:trPr>
          <w:trHeight w:val="300"/>
        </w:trPr>
        <w:tc>
          <w:tcPr>
            <w:tcW w:w="2553" w:type="dxa"/>
            <w:noWrap/>
            <w:vAlign w:val="center"/>
            <w:hideMark/>
          </w:tcPr>
          <w:p w14:paraId="38E2746C" w14:textId="77777777" w:rsidR="005F7B62" w:rsidRPr="00E32810" w:rsidRDefault="005F7B62" w:rsidP="007B4E2B">
            <w:pPr>
              <w:rPr>
                <w:rFonts w:ascii="Calibri" w:eastAsia="Times New Roman" w:hAnsi="Calibri" w:cs="Times New Roman"/>
                <w:color w:val="000000"/>
                <w:lang w:eastAsia="en-GB"/>
              </w:rPr>
            </w:pPr>
            <w:r w:rsidRPr="00E32810">
              <w:rPr>
                <w:rFonts w:ascii="Calibri" w:eastAsia="Times New Roman" w:hAnsi="Calibri" w:cs="Times New Roman"/>
                <w:color w:val="000000"/>
                <w:lang w:eastAsia="en-GB"/>
              </w:rPr>
              <w:t>3</w:t>
            </w:r>
          </w:p>
        </w:tc>
        <w:tc>
          <w:tcPr>
            <w:tcW w:w="1672" w:type="dxa"/>
            <w:noWrap/>
            <w:vAlign w:val="center"/>
          </w:tcPr>
          <w:p w14:paraId="629918D8" w14:textId="77777777" w:rsidR="005F7B62" w:rsidRDefault="005F7B62" w:rsidP="007B4E2B">
            <w:pPr>
              <w:jc w:val="center"/>
              <w:rPr>
                <w:rFonts w:ascii="Calibri" w:hAnsi="Calibri"/>
                <w:color w:val="000000"/>
              </w:rPr>
            </w:pPr>
            <w:r>
              <w:rPr>
                <w:rFonts w:ascii="Calibri" w:hAnsi="Calibri"/>
                <w:color w:val="000000"/>
              </w:rPr>
              <w:t>-0.496 (0.096)</w:t>
            </w:r>
          </w:p>
        </w:tc>
        <w:tc>
          <w:tcPr>
            <w:tcW w:w="1672" w:type="dxa"/>
            <w:vAlign w:val="center"/>
          </w:tcPr>
          <w:p w14:paraId="265AFD7F" w14:textId="77777777" w:rsidR="005F7B62" w:rsidRDefault="005F7B62" w:rsidP="007B4E2B">
            <w:pPr>
              <w:jc w:val="center"/>
              <w:rPr>
                <w:rFonts w:ascii="Calibri" w:hAnsi="Calibri"/>
                <w:color w:val="000000"/>
              </w:rPr>
            </w:pPr>
            <w:r>
              <w:rPr>
                <w:rFonts w:ascii="Calibri" w:hAnsi="Calibri"/>
                <w:color w:val="000000"/>
              </w:rPr>
              <w:t>0.61 (0.50-0.74)</w:t>
            </w:r>
          </w:p>
        </w:tc>
        <w:tc>
          <w:tcPr>
            <w:tcW w:w="1672" w:type="dxa"/>
            <w:vAlign w:val="center"/>
          </w:tcPr>
          <w:p w14:paraId="0BBBC19D" w14:textId="77777777" w:rsidR="005F7B62" w:rsidRDefault="005F7B62" w:rsidP="007B4E2B">
            <w:pPr>
              <w:jc w:val="center"/>
              <w:rPr>
                <w:rFonts w:ascii="Calibri" w:hAnsi="Calibri"/>
                <w:color w:val="000000"/>
              </w:rPr>
            </w:pPr>
            <w:r>
              <w:rPr>
                <w:rFonts w:ascii="Calibri" w:hAnsi="Calibri"/>
                <w:color w:val="000000"/>
              </w:rPr>
              <w:t>-0.765 (0.125)</w:t>
            </w:r>
          </w:p>
        </w:tc>
        <w:tc>
          <w:tcPr>
            <w:tcW w:w="1673" w:type="dxa"/>
            <w:vAlign w:val="center"/>
          </w:tcPr>
          <w:p w14:paraId="3CFF5AA9" w14:textId="77777777" w:rsidR="005F7B62" w:rsidRDefault="005F7B62" w:rsidP="007B4E2B">
            <w:pPr>
              <w:jc w:val="center"/>
              <w:rPr>
                <w:rFonts w:ascii="Calibri" w:hAnsi="Calibri"/>
                <w:color w:val="000000"/>
              </w:rPr>
            </w:pPr>
            <w:r>
              <w:rPr>
                <w:rFonts w:ascii="Calibri" w:hAnsi="Calibri"/>
                <w:color w:val="000000"/>
              </w:rPr>
              <w:t>0.47 (0.36-0.59)</w:t>
            </w:r>
          </w:p>
        </w:tc>
      </w:tr>
      <w:tr w:rsidR="005F7B62" w:rsidRPr="00E32810" w14:paraId="33F62700" w14:textId="77777777" w:rsidTr="007B4E2B">
        <w:trPr>
          <w:trHeight w:val="300"/>
        </w:trPr>
        <w:tc>
          <w:tcPr>
            <w:tcW w:w="2553" w:type="dxa"/>
            <w:noWrap/>
            <w:vAlign w:val="center"/>
            <w:hideMark/>
          </w:tcPr>
          <w:p w14:paraId="2F365923" w14:textId="77777777" w:rsidR="005F7B62" w:rsidRPr="00E32810" w:rsidRDefault="005F7B62" w:rsidP="007B4E2B">
            <w:pPr>
              <w:rPr>
                <w:rFonts w:ascii="Calibri" w:eastAsia="Times New Roman" w:hAnsi="Calibri" w:cs="Times New Roman"/>
                <w:color w:val="000000"/>
                <w:lang w:eastAsia="en-GB"/>
              </w:rPr>
            </w:pPr>
            <w:r w:rsidRPr="00E32810">
              <w:rPr>
                <w:rFonts w:ascii="Calibri" w:eastAsia="Times New Roman" w:hAnsi="Calibri" w:cs="Times New Roman"/>
                <w:color w:val="000000"/>
                <w:lang w:eastAsia="en-GB"/>
              </w:rPr>
              <w:t>4</w:t>
            </w:r>
          </w:p>
        </w:tc>
        <w:tc>
          <w:tcPr>
            <w:tcW w:w="1672" w:type="dxa"/>
            <w:noWrap/>
            <w:vAlign w:val="center"/>
          </w:tcPr>
          <w:p w14:paraId="530671AD" w14:textId="77777777" w:rsidR="005F7B62" w:rsidRDefault="005F7B62" w:rsidP="007B4E2B">
            <w:pPr>
              <w:jc w:val="center"/>
              <w:rPr>
                <w:rFonts w:ascii="Calibri" w:hAnsi="Calibri"/>
                <w:color w:val="000000"/>
              </w:rPr>
            </w:pPr>
            <w:r>
              <w:rPr>
                <w:rFonts w:ascii="Calibri" w:hAnsi="Calibri"/>
                <w:color w:val="000000"/>
              </w:rPr>
              <w:t>-0.582 (0.110)</w:t>
            </w:r>
          </w:p>
        </w:tc>
        <w:tc>
          <w:tcPr>
            <w:tcW w:w="1672" w:type="dxa"/>
            <w:vAlign w:val="center"/>
          </w:tcPr>
          <w:p w14:paraId="3943CB25" w14:textId="77777777" w:rsidR="005F7B62" w:rsidRDefault="005F7B62" w:rsidP="007B4E2B">
            <w:pPr>
              <w:jc w:val="center"/>
              <w:rPr>
                <w:rFonts w:ascii="Calibri" w:hAnsi="Calibri"/>
                <w:color w:val="000000"/>
              </w:rPr>
            </w:pPr>
            <w:r>
              <w:rPr>
                <w:rFonts w:ascii="Calibri" w:hAnsi="Calibri"/>
                <w:color w:val="000000"/>
              </w:rPr>
              <w:t>0.56 (0.45-0.69)</w:t>
            </w:r>
          </w:p>
        </w:tc>
        <w:tc>
          <w:tcPr>
            <w:tcW w:w="1672" w:type="dxa"/>
            <w:vAlign w:val="center"/>
          </w:tcPr>
          <w:p w14:paraId="78D52759" w14:textId="77777777" w:rsidR="005F7B62" w:rsidRDefault="005F7B62" w:rsidP="007B4E2B">
            <w:pPr>
              <w:jc w:val="center"/>
              <w:rPr>
                <w:rFonts w:ascii="Calibri" w:hAnsi="Calibri"/>
                <w:color w:val="000000"/>
              </w:rPr>
            </w:pPr>
            <w:r>
              <w:rPr>
                <w:rFonts w:ascii="Calibri" w:hAnsi="Calibri"/>
                <w:color w:val="000000"/>
              </w:rPr>
              <w:t>-1.076 (0.157)</w:t>
            </w:r>
          </w:p>
        </w:tc>
        <w:tc>
          <w:tcPr>
            <w:tcW w:w="1673" w:type="dxa"/>
            <w:vAlign w:val="center"/>
          </w:tcPr>
          <w:p w14:paraId="24538A87" w14:textId="77777777" w:rsidR="005F7B62" w:rsidRDefault="005F7B62" w:rsidP="007B4E2B">
            <w:pPr>
              <w:jc w:val="center"/>
              <w:rPr>
                <w:rFonts w:ascii="Calibri" w:hAnsi="Calibri"/>
                <w:color w:val="000000"/>
              </w:rPr>
            </w:pPr>
            <w:r>
              <w:rPr>
                <w:rFonts w:ascii="Calibri" w:hAnsi="Calibri"/>
                <w:color w:val="000000"/>
              </w:rPr>
              <w:t>0.34 (0.25-0.46)</w:t>
            </w:r>
          </w:p>
        </w:tc>
      </w:tr>
      <w:tr w:rsidR="005F7B62" w:rsidRPr="00E32810" w14:paraId="79B0E391" w14:textId="77777777" w:rsidTr="007B4E2B">
        <w:trPr>
          <w:trHeight w:val="300"/>
        </w:trPr>
        <w:tc>
          <w:tcPr>
            <w:tcW w:w="2553" w:type="dxa"/>
            <w:noWrap/>
            <w:vAlign w:val="center"/>
            <w:hideMark/>
          </w:tcPr>
          <w:p w14:paraId="0542E932" w14:textId="77777777" w:rsidR="005F7B62" w:rsidRPr="00E32810" w:rsidRDefault="005F7B62" w:rsidP="007B4E2B">
            <w:pPr>
              <w:rPr>
                <w:rFonts w:ascii="Calibri" w:eastAsia="Times New Roman" w:hAnsi="Calibri" w:cs="Times New Roman"/>
                <w:color w:val="000000"/>
                <w:lang w:eastAsia="en-GB"/>
              </w:rPr>
            </w:pPr>
            <w:r>
              <w:rPr>
                <w:rFonts w:ascii="Calibri" w:eastAsia="Times New Roman" w:hAnsi="Calibri" w:cs="Times New Roman"/>
                <w:color w:val="000000"/>
                <w:lang w:eastAsia="en-GB"/>
              </w:rPr>
              <w:t xml:space="preserve">5 </w:t>
            </w:r>
            <w:r w:rsidRPr="00E32810">
              <w:rPr>
                <w:rFonts w:ascii="Calibri" w:eastAsia="Times New Roman" w:hAnsi="Calibri" w:cs="Times New Roman"/>
                <w:color w:val="000000"/>
                <w:lang w:eastAsia="en-GB"/>
              </w:rPr>
              <w:t>Least deprived</w:t>
            </w:r>
          </w:p>
        </w:tc>
        <w:tc>
          <w:tcPr>
            <w:tcW w:w="1672" w:type="dxa"/>
            <w:noWrap/>
            <w:vAlign w:val="center"/>
          </w:tcPr>
          <w:p w14:paraId="72F8CD7F" w14:textId="77777777" w:rsidR="005F7B62" w:rsidRDefault="005F7B62" w:rsidP="007B4E2B">
            <w:pPr>
              <w:jc w:val="center"/>
              <w:rPr>
                <w:rFonts w:ascii="Calibri" w:hAnsi="Calibri"/>
                <w:color w:val="000000"/>
              </w:rPr>
            </w:pPr>
            <w:r>
              <w:rPr>
                <w:rFonts w:ascii="Calibri" w:hAnsi="Calibri"/>
                <w:color w:val="000000"/>
              </w:rPr>
              <w:t>-1.025 (0.123)</w:t>
            </w:r>
          </w:p>
        </w:tc>
        <w:tc>
          <w:tcPr>
            <w:tcW w:w="1672" w:type="dxa"/>
            <w:vAlign w:val="center"/>
          </w:tcPr>
          <w:p w14:paraId="4DF07307" w14:textId="77777777" w:rsidR="005F7B62" w:rsidRDefault="005F7B62" w:rsidP="007B4E2B">
            <w:pPr>
              <w:jc w:val="center"/>
              <w:rPr>
                <w:rFonts w:ascii="Calibri" w:hAnsi="Calibri"/>
                <w:color w:val="000000"/>
              </w:rPr>
            </w:pPr>
            <w:r>
              <w:rPr>
                <w:rFonts w:ascii="Calibri" w:hAnsi="Calibri"/>
                <w:color w:val="000000"/>
              </w:rPr>
              <w:t>0.36 (0.28-0.46)</w:t>
            </w:r>
          </w:p>
        </w:tc>
        <w:tc>
          <w:tcPr>
            <w:tcW w:w="1672" w:type="dxa"/>
            <w:vAlign w:val="center"/>
          </w:tcPr>
          <w:p w14:paraId="1C79B0FB" w14:textId="77777777" w:rsidR="005F7B62" w:rsidRDefault="005F7B62" w:rsidP="007B4E2B">
            <w:pPr>
              <w:jc w:val="center"/>
              <w:rPr>
                <w:rFonts w:ascii="Calibri" w:hAnsi="Calibri"/>
                <w:color w:val="000000"/>
              </w:rPr>
            </w:pPr>
            <w:r>
              <w:rPr>
                <w:rFonts w:ascii="Calibri" w:hAnsi="Calibri"/>
                <w:color w:val="000000"/>
              </w:rPr>
              <w:t>-1.713 (0.193)</w:t>
            </w:r>
          </w:p>
        </w:tc>
        <w:tc>
          <w:tcPr>
            <w:tcW w:w="1673" w:type="dxa"/>
            <w:vAlign w:val="center"/>
          </w:tcPr>
          <w:p w14:paraId="03875412" w14:textId="77777777" w:rsidR="005F7B62" w:rsidRDefault="005F7B62" w:rsidP="007B4E2B">
            <w:pPr>
              <w:jc w:val="center"/>
              <w:rPr>
                <w:rFonts w:ascii="Calibri" w:hAnsi="Calibri"/>
                <w:color w:val="000000"/>
              </w:rPr>
            </w:pPr>
            <w:r>
              <w:rPr>
                <w:rFonts w:ascii="Calibri" w:hAnsi="Calibri"/>
                <w:color w:val="000000"/>
              </w:rPr>
              <w:t>0.18 (0.12-0.26)</w:t>
            </w:r>
          </w:p>
        </w:tc>
      </w:tr>
      <w:tr w:rsidR="005F7B62" w:rsidRPr="00E32810" w14:paraId="1FD5AB6B" w14:textId="77777777" w:rsidTr="007B4E2B">
        <w:trPr>
          <w:trHeight w:val="300"/>
        </w:trPr>
        <w:tc>
          <w:tcPr>
            <w:tcW w:w="9242" w:type="dxa"/>
            <w:gridSpan w:val="5"/>
            <w:noWrap/>
            <w:vAlign w:val="center"/>
          </w:tcPr>
          <w:p w14:paraId="12173840" w14:textId="77777777" w:rsidR="005F7B62" w:rsidRPr="00C7229A" w:rsidRDefault="005F7B62" w:rsidP="007B4E2B">
            <w:pPr>
              <w:rPr>
                <w:rFonts w:ascii="Calibri" w:eastAsia="Times New Roman" w:hAnsi="Calibri" w:cs="Times New Roman"/>
                <w:b/>
                <w:color w:val="000000"/>
                <w:lang w:eastAsia="en-GB"/>
              </w:rPr>
            </w:pPr>
            <w:r w:rsidRPr="00C7229A">
              <w:rPr>
                <w:rFonts w:ascii="Calibri" w:eastAsia="Times New Roman" w:hAnsi="Calibri" w:cs="Times New Roman"/>
                <w:b/>
                <w:color w:val="000000"/>
                <w:lang w:eastAsia="en-GB"/>
              </w:rPr>
              <w:t>Individual-level interactions</w:t>
            </w:r>
            <w:r>
              <w:rPr>
                <w:rFonts w:ascii="Calibri" w:eastAsia="Times New Roman" w:hAnsi="Calibri" w:cs="Times New Roman"/>
                <w:b/>
                <w:color w:val="000000"/>
                <w:lang w:eastAsia="en-GB"/>
              </w:rPr>
              <w:t xml:space="preserve"> </w:t>
            </w:r>
          </w:p>
        </w:tc>
      </w:tr>
      <w:tr w:rsidR="005F7B62" w:rsidRPr="00E32810" w14:paraId="63F01E53" w14:textId="77777777" w:rsidTr="007B4E2B">
        <w:trPr>
          <w:trHeight w:val="300"/>
        </w:trPr>
        <w:tc>
          <w:tcPr>
            <w:tcW w:w="2553" w:type="dxa"/>
            <w:noWrap/>
            <w:vAlign w:val="center"/>
          </w:tcPr>
          <w:p w14:paraId="631DFC3D" w14:textId="77777777" w:rsidR="005F7B62" w:rsidRPr="00E32810" w:rsidRDefault="005F7B62" w:rsidP="007B4E2B">
            <w:pPr>
              <w:rPr>
                <w:rFonts w:ascii="Calibri" w:eastAsia="Times New Roman" w:hAnsi="Calibri" w:cs="Times New Roman"/>
                <w:color w:val="000000"/>
                <w:lang w:eastAsia="en-GB"/>
              </w:rPr>
            </w:pPr>
            <w:r>
              <w:rPr>
                <w:rFonts w:ascii="Calibri" w:eastAsia="Times New Roman" w:hAnsi="Calibri" w:cs="Times New Roman"/>
                <w:color w:val="000000"/>
                <w:lang w:eastAsia="en-GB"/>
              </w:rPr>
              <w:t>20-24 X IMDQ4</w:t>
            </w:r>
          </w:p>
        </w:tc>
        <w:tc>
          <w:tcPr>
            <w:tcW w:w="1672" w:type="dxa"/>
            <w:noWrap/>
            <w:vAlign w:val="center"/>
          </w:tcPr>
          <w:p w14:paraId="10629E3C" w14:textId="77777777" w:rsidR="005F7B62" w:rsidRDefault="005F7B62" w:rsidP="007B4E2B">
            <w:pPr>
              <w:jc w:val="center"/>
              <w:rPr>
                <w:rFonts w:ascii="Calibri" w:hAnsi="Calibri"/>
                <w:color w:val="000000"/>
              </w:rPr>
            </w:pPr>
            <w:r>
              <w:rPr>
                <w:rFonts w:ascii="Calibri" w:hAnsi="Calibri"/>
                <w:color w:val="000000"/>
              </w:rPr>
              <w:t>0.652 (0.226)</w:t>
            </w:r>
          </w:p>
        </w:tc>
        <w:tc>
          <w:tcPr>
            <w:tcW w:w="1672" w:type="dxa"/>
            <w:vAlign w:val="center"/>
          </w:tcPr>
          <w:p w14:paraId="325D10C1" w14:textId="77777777" w:rsidR="005F7B62" w:rsidRDefault="005F7B62" w:rsidP="007B4E2B">
            <w:pPr>
              <w:jc w:val="center"/>
              <w:rPr>
                <w:rFonts w:ascii="Calibri" w:hAnsi="Calibri"/>
                <w:color w:val="000000"/>
              </w:rPr>
            </w:pPr>
            <w:r>
              <w:rPr>
                <w:rFonts w:ascii="Calibri" w:hAnsi="Calibri"/>
                <w:color w:val="000000"/>
              </w:rPr>
              <w:t>1.92 (1.23-2.99)</w:t>
            </w:r>
          </w:p>
        </w:tc>
        <w:tc>
          <w:tcPr>
            <w:tcW w:w="1672" w:type="dxa"/>
            <w:vAlign w:val="center"/>
          </w:tcPr>
          <w:p w14:paraId="3758955B" w14:textId="77777777" w:rsidR="005F7B62" w:rsidRDefault="005F7B62" w:rsidP="007B4E2B">
            <w:pPr>
              <w:jc w:val="center"/>
              <w:rPr>
                <w:rFonts w:ascii="Calibri" w:hAnsi="Calibri"/>
                <w:color w:val="000000"/>
              </w:rPr>
            </w:pPr>
            <w:r>
              <w:rPr>
                <w:rFonts w:ascii="Calibri" w:hAnsi="Calibri"/>
                <w:color w:val="000000"/>
              </w:rPr>
              <w:t>0.848 (0.278)</w:t>
            </w:r>
          </w:p>
        </w:tc>
        <w:tc>
          <w:tcPr>
            <w:tcW w:w="1673" w:type="dxa"/>
            <w:vAlign w:val="center"/>
          </w:tcPr>
          <w:p w14:paraId="5C668458" w14:textId="77777777" w:rsidR="005F7B62" w:rsidRDefault="005F7B62" w:rsidP="007B4E2B">
            <w:pPr>
              <w:jc w:val="center"/>
              <w:rPr>
                <w:rFonts w:ascii="Calibri" w:hAnsi="Calibri"/>
                <w:color w:val="000000"/>
              </w:rPr>
            </w:pPr>
            <w:r>
              <w:rPr>
                <w:rFonts w:ascii="Calibri" w:hAnsi="Calibri"/>
                <w:color w:val="000000"/>
              </w:rPr>
              <w:t>2.33 (1.35-4.03)</w:t>
            </w:r>
          </w:p>
        </w:tc>
      </w:tr>
      <w:tr w:rsidR="005F7B62" w:rsidRPr="00E32810" w14:paraId="6633C47E" w14:textId="77777777" w:rsidTr="007B4E2B">
        <w:trPr>
          <w:trHeight w:val="300"/>
        </w:trPr>
        <w:tc>
          <w:tcPr>
            <w:tcW w:w="2553" w:type="dxa"/>
            <w:noWrap/>
            <w:vAlign w:val="center"/>
          </w:tcPr>
          <w:p w14:paraId="0DC847BF" w14:textId="77777777" w:rsidR="005F7B62" w:rsidRPr="00E32810" w:rsidRDefault="005F7B62" w:rsidP="007B4E2B">
            <w:pPr>
              <w:rPr>
                <w:rFonts w:ascii="Calibri" w:eastAsia="Times New Roman" w:hAnsi="Calibri" w:cs="Times New Roman"/>
                <w:color w:val="000000"/>
                <w:lang w:eastAsia="en-GB"/>
              </w:rPr>
            </w:pPr>
            <w:r>
              <w:rPr>
                <w:rFonts w:ascii="Calibri" w:eastAsia="Times New Roman" w:hAnsi="Calibri" w:cs="Times New Roman"/>
                <w:color w:val="000000"/>
                <w:lang w:eastAsia="en-GB"/>
              </w:rPr>
              <w:t>20-24 X IMDQ5</w:t>
            </w:r>
          </w:p>
        </w:tc>
        <w:tc>
          <w:tcPr>
            <w:tcW w:w="1672" w:type="dxa"/>
            <w:noWrap/>
            <w:vAlign w:val="center"/>
          </w:tcPr>
          <w:p w14:paraId="57752BF3" w14:textId="77777777" w:rsidR="005F7B62" w:rsidRDefault="005F7B62" w:rsidP="007B4E2B">
            <w:pPr>
              <w:jc w:val="center"/>
              <w:rPr>
                <w:rFonts w:ascii="Calibri" w:hAnsi="Calibri"/>
                <w:color w:val="000000"/>
              </w:rPr>
            </w:pPr>
            <w:r>
              <w:rPr>
                <w:rFonts w:ascii="Calibri" w:hAnsi="Calibri"/>
                <w:color w:val="000000"/>
              </w:rPr>
              <w:t>1.017 (0.253)</w:t>
            </w:r>
          </w:p>
        </w:tc>
        <w:tc>
          <w:tcPr>
            <w:tcW w:w="1672" w:type="dxa"/>
            <w:vAlign w:val="center"/>
          </w:tcPr>
          <w:p w14:paraId="4523E0A5" w14:textId="77777777" w:rsidR="005F7B62" w:rsidRDefault="005F7B62" w:rsidP="007B4E2B">
            <w:pPr>
              <w:jc w:val="center"/>
              <w:rPr>
                <w:rFonts w:ascii="Calibri" w:hAnsi="Calibri"/>
                <w:color w:val="000000"/>
              </w:rPr>
            </w:pPr>
            <w:r>
              <w:rPr>
                <w:rFonts w:ascii="Calibri" w:hAnsi="Calibri"/>
                <w:color w:val="000000"/>
              </w:rPr>
              <w:t>2.76 (1.68-4.54)</w:t>
            </w:r>
          </w:p>
        </w:tc>
        <w:tc>
          <w:tcPr>
            <w:tcW w:w="1672" w:type="dxa"/>
            <w:vAlign w:val="center"/>
          </w:tcPr>
          <w:p w14:paraId="0C6DEBD7" w14:textId="77777777" w:rsidR="005F7B62" w:rsidRDefault="005F7B62" w:rsidP="007B4E2B">
            <w:pPr>
              <w:jc w:val="center"/>
              <w:rPr>
                <w:rFonts w:ascii="Calibri" w:hAnsi="Calibri"/>
                <w:color w:val="000000"/>
              </w:rPr>
            </w:pPr>
            <w:r>
              <w:rPr>
                <w:rFonts w:ascii="Calibri" w:hAnsi="Calibri"/>
                <w:color w:val="000000"/>
              </w:rPr>
              <w:t>1.078 (0.346)</w:t>
            </w:r>
          </w:p>
        </w:tc>
        <w:tc>
          <w:tcPr>
            <w:tcW w:w="1673" w:type="dxa"/>
            <w:vAlign w:val="center"/>
          </w:tcPr>
          <w:p w14:paraId="6FFD5F09" w14:textId="77777777" w:rsidR="005F7B62" w:rsidRDefault="005F7B62" w:rsidP="007B4E2B">
            <w:pPr>
              <w:jc w:val="center"/>
              <w:rPr>
                <w:rFonts w:ascii="Calibri" w:hAnsi="Calibri"/>
                <w:color w:val="000000"/>
              </w:rPr>
            </w:pPr>
            <w:r>
              <w:rPr>
                <w:rFonts w:ascii="Calibri" w:hAnsi="Calibri"/>
                <w:color w:val="000000"/>
              </w:rPr>
              <w:t>2.94 (1.49-5.79)</w:t>
            </w:r>
          </w:p>
        </w:tc>
      </w:tr>
      <w:tr w:rsidR="005F7B62" w:rsidRPr="00E32810" w14:paraId="35F191F3" w14:textId="77777777" w:rsidTr="007B4E2B">
        <w:trPr>
          <w:trHeight w:val="300"/>
        </w:trPr>
        <w:tc>
          <w:tcPr>
            <w:tcW w:w="2553" w:type="dxa"/>
            <w:noWrap/>
            <w:vAlign w:val="center"/>
          </w:tcPr>
          <w:p w14:paraId="6B060916" w14:textId="77777777" w:rsidR="005F7B62" w:rsidRPr="00E32810" w:rsidRDefault="005F7B62" w:rsidP="007B4E2B">
            <w:pPr>
              <w:rPr>
                <w:rFonts w:ascii="Calibri" w:eastAsia="Times New Roman" w:hAnsi="Calibri" w:cs="Times New Roman"/>
                <w:color w:val="000000"/>
                <w:lang w:eastAsia="en-GB"/>
              </w:rPr>
            </w:pPr>
            <w:r>
              <w:rPr>
                <w:rFonts w:ascii="Calibri" w:eastAsia="Times New Roman" w:hAnsi="Calibri" w:cs="Times New Roman"/>
                <w:color w:val="000000"/>
                <w:lang w:eastAsia="en-GB"/>
              </w:rPr>
              <w:t>&lt;20 X IMDQ3</w:t>
            </w:r>
          </w:p>
        </w:tc>
        <w:tc>
          <w:tcPr>
            <w:tcW w:w="1672" w:type="dxa"/>
            <w:noWrap/>
            <w:vAlign w:val="center"/>
          </w:tcPr>
          <w:p w14:paraId="61977FBC" w14:textId="77777777" w:rsidR="005F7B62" w:rsidRDefault="005F7B62" w:rsidP="007B4E2B">
            <w:pPr>
              <w:jc w:val="center"/>
              <w:rPr>
                <w:rFonts w:ascii="Calibri" w:hAnsi="Calibri"/>
                <w:color w:val="000000"/>
              </w:rPr>
            </w:pPr>
            <w:r>
              <w:rPr>
                <w:rFonts w:ascii="Calibri" w:hAnsi="Calibri"/>
                <w:color w:val="000000"/>
              </w:rPr>
              <w:t>1.379 (0.573)</w:t>
            </w:r>
          </w:p>
        </w:tc>
        <w:tc>
          <w:tcPr>
            <w:tcW w:w="1672" w:type="dxa"/>
            <w:vAlign w:val="center"/>
          </w:tcPr>
          <w:p w14:paraId="0C0C3B1F" w14:textId="77777777" w:rsidR="005F7B62" w:rsidRDefault="005F7B62" w:rsidP="007B4E2B">
            <w:pPr>
              <w:jc w:val="center"/>
              <w:rPr>
                <w:rFonts w:ascii="Calibri" w:hAnsi="Calibri"/>
                <w:color w:val="000000"/>
              </w:rPr>
            </w:pPr>
            <w:r>
              <w:rPr>
                <w:rFonts w:ascii="Calibri" w:hAnsi="Calibri"/>
                <w:color w:val="000000"/>
              </w:rPr>
              <w:t>3.97 (1.29-12.2)</w:t>
            </w:r>
          </w:p>
        </w:tc>
        <w:tc>
          <w:tcPr>
            <w:tcW w:w="1672" w:type="dxa"/>
            <w:vAlign w:val="center"/>
          </w:tcPr>
          <w:p w14:paraId="4C44D659" w14:textId="77777777" w:rsidR="005F7B62" w:rsidRDefault="005F7B62" w:rsidP="007B4E2B">
            <w:pPr>
              <w:jc w:val="center"/>
              <w:rPr>
                <w:rFonts w:ascii="Calibri" w:hAnsi="Calibri"/>
                <w:color w:val="000000"/>
              </w:rPr>
            </w:pPr>
            <w:r>
              <w:rPr>
                <w:rFonts w:ascii="Calibri" w:hAnsi="Calibri"/>
                <w:color w:val="000000"/>
              </w:rPr>
              <w:t>1.150 (0.507)</w:t>
            </w:r>
          </w:p>
        </w:tc>
        <w:tc>
          <w:tcPr>
            <w:tcW w:w="1673" w:type="dxa"/>
            <w:vAlign w:val="center"/>
          </w:tcPr>
          <w:p w14:paraId="07DFF61E" w14:textId="77777777" w:rsidR="005F7B62" w:rsidRDefault="005F7B62" w:rsidP="007B4E2B">
            <w:pPr>
              <w:jc w:val="center"/>
              <w:rPr>
                <w:rFonts w:ascii="Calibri" w:hAnsi="Calibri"/>
                <w:color w:val="000000"/>
              </w:rPr>
            </w:pPr>
            <w:r>
              <w:rPr>
                <w:rFonts w:ascii="Calibri" w:hAnsi="Calibri"/>
                <w:color w:val="000000"/>
              </w:rPr>
              <w:t>3.16 (1.17-8.53)</w:t>
            </w:r>
          </w:p>
        </w:tc>
      </w:tr>
      <w:tr w:rsidR="005F7B62" w:rsidRPr="00E32810" w14:paraId="504BE4DD" w14:textId="77777777" w:rsidTr="007B4E2B">
        <w:trPr>
          <w:trHeight w:val="300"/>
        </w:trPr>
        <w:tc>
          <w:tcPr>
            <w:tcW w:w="2553" w:type="dxa"/>
            <w:noWrap/>
            <w:vAlign w:val="center"/>
          </w:tcPr>
          <w:p w14:paraId="0F78E1D6" w14:textId="77777777" w:rsidR="005F7B62" w:rsidRPr="008C02A2" w:rsidRDefault="005F7B62" w:rsidP="007B4E2B">
            <w:pPr>
              <w:rPr>
                <w:rFonts w:ascii="Calibri" w:eastAsia="Times New Roman" w:hAnsi="Calibri" w:cs="Times New Roman"/>
                <w:color w:val="000000"/>
                <w:vertAlign w:val="superscript"/>
                <w:lang w:eastAsia="en-GB"/>
              </w:rPr>
            </w:pPr>
            <w:r>
              <w:rPr>
                <w:rFonts w:ascii="Calibri" w:eastAsia="Times New Roman" w:hAnsi="Calibri" w:cs="Times New Roman"/>
                <w:color w:val="000000"/>
                <w:lang w:eastAsia="en-GB"/>
              </w:rPr>
              <w:t>&lt;20 X IMDQ4</w:t>
            </w:r>
            <w:r>
              <w:rPr>
                <w:rFonts w:ascii="Calibri" w:eastAsia="Times New Roman" w:hAnsi="Calibri" w:cs="Times New Roman"/>
                <w:color w:val="000000"/>
                <w:vertAlign w:val="superscript"/>
                <w:lang w:eastAsia="en-GB"/>
              </w:rPr>
              <w:t>a</w:t>
            </w:r>
          </w:p>
        </w:tc>
        <w:tc>
          <w:tcPr>
            <w:tcW w:w="1672" w:type="dxa"/>
            <w:noWrap/>
            <w:vAlign w:val="center"/>
          </w:tcPr>
          <w:p w14:paraId="2B7C77F4" w14:textId="77777777" w:rsidR="005F7B62" w:rsidRDefault="005F7B62" w:rsidP="007B4E2B">
            <w:pPr>
              <w:jc w:val="center"/>
              <w:rPr>
                <w:rFonts w:ascii="Calibri" w:hAnsi="Calibri"/>
                <w:color w:val="000000"/>
              </w:rPr>
            </w:pPr>
            <w:r>
              <w:rPr>
                <w:rFonts w:ascii="Calibri" w:hAnsi="Calibri"/>
                <w:color w:val="000000"/>
              </w:rPr>
              <w:t>0.730 (0.461)</w:t>
            </w:r>
          </w:p>
        </w:tc>
        <w:tc>
          <w:tcPr>
            <w:tcW w:w="1672" w:type="dxa"/>
            <w:vAlign w:val="center"/>
          </w:tcPr>
          <w:p w14:paraId="6112A1BB" w14:textId="77777777" w:rsidR="005F7B62" w:rsidRDefault="005F7B62" w:rsidP="007B4E2B">
            <w:pPr>
              <w:jc w:val="center"/>
              <w:rPr>
                <w:rFonts w:ascii="Calibri" w:hAnsi="Calibri"/>
                <w:color w:val="000000"/>
              </w:rPr>
            </w:pPr>
            <w:r>
              <w:rPr>
                <w:rFonts w:ascii="Calibri" w:hAnsi="Calibri"/>
                <w:color w:val="000000"/>
              </w:rPr>
              <w:t>2.08 (0.84-5.12)</w:t>
            </w:r>
          </w:p>
        </w:tc>
        <w:tc>
          <w:tcPr>
            <w:tcW w:w="1672" w:type="dxa"/>
            <w:vAlign w:val="center"/>
          </w:tcPr>
          <w:p w14:paraId="22D377D3" w14:textId="77777777" w:rsidR="005F7B62" w:rsidRDefault="005F7B62" w:rsidP="007B4E2B">
            <w:pPr>
              <w:jc w:val="center"/>
              <w:rPr>
                <w:rFonts w:ascii="Calibri" w:hAnsi="Calibri"/>
                <w:color w:val="000000"/>
              </w:rPr>
            </w:pPr>
            <w:r>
              <w:rPr>
                <w:rFonts w:ascii="Calibri" w:hAnsi="Calibri"/>
                <w:color w:val="000000"/>
              </w:rPr>
              <w:t>0.713 (0.499)</w:t>
            </w:r>
          </w:p>
        </w:tc>
        <w:tc>
          <w:tcPr>
            <w:tcW w:w="1673" w:type="dxa"/>
            <w:vAlign w:val="center"/>
          </w:tcPr>
          <w:p w14:paraId="25A89AEB" w14:textId="77777777" w:rsidR="005F7B62" w:rsidRDefault="005F7B62" w:rsidP="007B4E2B">
            <w:pPr>
              <w:jc w:val="center"/>
              <w:rPr>
                <w:rFonts w:ascii="Calibri" w:hAnsi="Calibri"/>
                <w:color w:val="000000"/>
              </w:rPr>
            </w:pPr>
            <w:r>
              <w:rPr>
                <w:rFonts w:ascii="Calibri" w:hAnsi="Calibri"/>
                <w:color w:val="000000"/>
              </w:rPr>
              <w:t>2.04 (0.77-5.43)</w:t>
            </w:r>
          </w:p>
        </w:tc>
      </w:tr>
      <w:tr w:rsidR="005F7B62" w:rsidRPr="00E32810" w14:paraId="2F5BA3DB" w14:textId="77777777" w:rsidTr="007B4E2B">
        <w:trPr>
          <w:trHeight w:val="300"/>
        </w:trPr>
        <w:tc>
          <w:tcPr>
            <w:tcW w:w="2553" w:type="dxa"/>
            <w:noWrap/>
            <w:vAlign w:val="center"/>
            <w:hideMark/>
          </w:tcPr>
          <w:p w14:paraId="0A97D4AB" w14:textId="77777777" w:rsidR="005F7B62" w:rsidRPr="00E32810" w:rsidRDefault="005F7B62" w:rsidP="007B4E2B">
            <w:pPr>
              <w:rPr>
                <w:rFonts w:ascii="Calibri" w:eastAsia="Times New Roman" w:hAnsi="Calibri" w:cs="Times New Roman"/>
                <w:color w:val="000000"/>
                <w:lang w:eastAsia="en-GB"/>
              </w:rPr>
            </w:pPr>
            <w:r>
              <w:rPr>
                <w:rFonts w:ascii="Calibri" w:eastAsia="Times New Roman" w:hAnsi="Calibri" w:cs="Times New Roman"/>
                <w:color w:val="000000"/>
                <w:lang w:eastAsia="en-GB"/>
              </w:rPr>
              <w:t>&lt;20 X IMDQ5</w:t>
            </w:r>
          </w:p>
        </w:tc>
        <w:tc>
          <w:tcPr>
            <w:tcW w:w="1672" w:type="dxa"/>
            <w:noWrap/>
            <w:vAlign w:val="center"/>
          </w:tcPr>
          <w:p w14:paraId="7DC66A8D" w14:textId="77777777" w:rsidR="005F7B62" w:rsidRDefault="005F7B62" w:rsidP="007B4E2B">
            <w:pPr>
              <w:jc w:val="center"/>
              <w:rPr>
                <w:rFonts w:ascii="Calibri" w:hAnsi="Calibri"/>
                <w:color w:val="000000"/>
              </w:rPr>
            </w:pPr>
            <w:r>
              <w:rPr>
                <w:rFonts w:ascii="Calibri" w:hAnsi="Calibri"/>
                <w:color w:val="000000"/>
              </w:rPr>
              <w:t>1.577 (0.665)</w:t>
            </w:r>
          </w:p>
        </w:tc>
        <w:tc>
          <w:tcPr>
            <w:tcW w:w="1672" w:type="dxa"/>
            <w:vAlign w:val="center"/>
          </w:tcPr>
          <w:p w14:paraId="3FF29989" w14:textId="77777777" w:rsidR="005F7B62" w:rsidRDefault="005F7B62" w:rsidP="007B4E2B">
            <w:pPr>
              <w:jc w:val="center"/>
              <w:rPr>
                <w:rFonts w:ascii="Calibri" w:hAnsi="Calibri"/>
                <w:color w:val="000000"/>
              </w:rPr>
            </w:pPr>
            <w:r>
              <w:rPr>
                <w:rFonts w:ascii="Calibri" w:hAnsi="Calibri"/>
                <w:color w:val="000000"/>
              </w:rPr>
              <w:t>4.84 (1.31-17.8)</w:t>
            </w:r>
          </w:p>
        </w:tc>
        <w:tc>
          <w:tcPr>
            <w:tcW w:w="1672" w:type="dxa"/>
            <w:vAlign w:val="center"/>
          </w:tcPr>
          <w:p w14:paraId="58F8EF6A" w14:textId="77777777" w:rsidR="005F7B62" w:rsidRDefault="005F7B62" w:rsidP="007B4E2B">
            <w:pPr>
              <w:jc w:val="center"/>
              <w:rPr>
                <w:rFonts w:ascii="Calibri" w:hAnsi="Calibri"/>
                <w:color w:val="000000"/>
              </w:rPr>
            </w:pPr>
            <w:r>
              <w:rPr>
                <w:rFonts w:ascii="Calibri" w:hAnsi="Calibri"/>
                <w:color w:val="000000"/>
              </w:rPr>
              <w:t>2.589 (0.651)</w:t>
            </w:r>
          </w:p>
        </w:tc>
        <w:tc>
          <w:tcPr>
            <w:tcW w:w="1673" w:type="dxa"/>
            <w:vAlign w:val="center"/>
          </w:tcPr>
          <w:p w14:paraId="61059CC2" w14:textId="77777777" w:rsidR="005F7B62" w:rsidRDefault="005F7B62" w:rsidP="007B4E2B">
            <w:pPr>
              <w:jc w:val="center"/>
              <w:rPr>
                <w:rFonts w:ascii="Calibri" w:hAnsi="Calibri"/>
                <w:color w:val="000000"/>
              </w:rPr>
            </w:pPr>
            <w:r>
              <w:rPr>
                <w:rFonts w:ascii="Calibri" w:hAnsi="Calibri"/>
                <w:color w:val="000000"/>
              </w:rPr>
              <w:t>13.3 (3.72-47.7)</w:t>
            </w:r>
          </w:p>
        </w:tc>
      </w:tr>
      <w:tr w:rsidR="005F7B62" w:rsidRPr="00E32810" w14:paraId="33FDA4A2" w14:textId="77777777" w:rsidTr="007B4E2B">
        <w:trPr>
          <w:trHeight w:val="300"/>
        </w:trPr>
        <w:tc>
          <w:tcPr>
            <w:tcW w:w="9242" w:type="dxa"/>
            <w:gridSpan w:val="5"/>
            <w:noWrap/>
            <w:vAlign w:val="center"/>
          </w:tcPr>
          <w:p w14:paraId="69A9D92E" w14:textId="77777777" w:rsidR="005F7B62" w:rsidRPr="00C7229A" w:rsidRDefault="005F7B62" w:rsidP="007B4E2B">
            <w:pPr>
              <w:rPr>
                <w:rFonts w:ascii="Calibri" w:eastAsia="Times New Roman" w:hAnsi="Calibri" w:cs="Times New Roman"/>
                <w:b/>
                <w:color w:val="000000"/>
                <w:lang w:eastAsia="en-GB"/>
              </w:rPr>
            </w:pPr>
            <w:r w:rsidRPr="00C7229A">
              <w:rPr>
                <w:rFonts w:ascii="Calibri" w:eastAsia="Times New Roman" w:hAnsi="Calibri" w:cs="Times New Roman"/>
                <w:b/>
                <w:color w:val="000000"/>
                <w:lang w:eastAsia="en-GB"/>
              </w:rPr>
              <w:t>Area-level variables</w:t>
            </w:r>
          </w:p>
        </w:tc>
      </w:tr>
      <w:tr w:rsidR="005F7B62" w:rsidRPr="00E32810" w14:paraId="6A352461" w14:textId="77777777" w:rsidTr="007B4E2B">
        <w:trPr>
          <w:trHeight w:val="300"/>
        </w:trPr>
        <w:tc>
          <w:tcPr>
            <w:tcW w:w="2553" w:type="dxa"/>
            <w:noWrap/>
            <w:vAlign w:val="center"/>
          </w:tcPr>
          <w:p w14:paraId="24A1BC69" w14:textId="77777777" w:rsidR="005F7B62" w:rsidRDefault="005F7B62" w:rsidP="007B4E2B">
            <w:pPr>
              <w:rPr>
                <w:rFonts w:ascii="Calibri" w:eastAsia="Times New Roman" w:hAnsi="Calibri" w:cs="Times New Roman"/>
                <w:color w:val="000000"/>
                <w:lang w:eastAsia="en-GB"/>
              </w:rPr>
            </w:pPr>
            <w:r>
              <w:rPr>
                <w:rFonts w:ascii="Calibri" w:eastAsia="Times New Roman" w:hAnsi="Calibri" w:cs="Times New Roman"/>
                <w:color w:val="000000"/>
                <w:lang w:eastAsia="en-GB"/>
              </w:rPr>
              <w:t>% females not of white or mixed ethnicity</w:t>
            </w:r>
          </w:p>
        </w:tc>
        <w:tc>
          <w:tcPr>
            <w:tcW w:w="1672" w:type="dxa"/>
            <w:noWrap/>
            <w:vAlign w:val="center"/>
          </w:tcPr>
          <w:p w14:paraId="6BC5CEA6" w14:textId="77777777" w:rsidR="005F7B62" w:rsidRDefault="005F7B62" w:rsidP="007B4E2B">
            <w:pPr>
              <w:jc w:val="center"/>
              <w:rPr>
                <w:rFonts w:ascii="Calibri" w:hAnsi="Calibri"/>
                <w:color w:val="000000"/>
              </w:rPr>
            </w:pPr>
            <w:r>
              <w:rPr>
                <w:rFonts w:ascii="Calibri" w:hAnsi="Calibri"/>
                <w:color w:val="000000"/>
              </w:rPr>
              <w:t>-0.019 (0.002)</w:t>
            </w:r>
          </w:p>
        </w:tc>
        <w:tc>
          <w:tcPr>
            <w:tcW w:w="1672" w:type="dxa"/>
            <w:vAlign w:val="center"/>
          </w:tcPr>
          <w:p w14:paraId="1E95B396" w14:textId="77777777" w:rsidR="005F7B62" w:rsidRDefault="005F7B62" w:rsidP="007B4E2B">
            <w:pPr>
              <w:jc w:val="center"/>
              <w:rPr>
                <w:rFonts w:ascii="Calibri" w:hAnsi="Calibri"/>
                <w:color w:val="000000"/>
              </w:rPr>
            </w:pPr>
            <w:r>
              <w:rPr>
                <w:rFonts w:ascii="Calibri" w:hAnsi="Calibri"/>
                <w:color w:val="000000"/>
              </w:rPr>
              <w:t>0.98 (0.98-0.99)</w:t>
            </w:r>
          </w:p>
        </w:tc>
        <w:tc>
          <w:tcPr>
            <w:tcW w:w="1672" w:type="dxa"/>
            <w:vAlign w:val="center"/>
          </w:tcPr>
          <w:p w14:paraId="70174FF1" w14:textId="77777777" w:rsidR="005F7B62" w:rsidRDefault="005F7B62" w:rsidP="007B4E2B">
            <w:pPr>
              <w:jc w:val="center"/>
              <w:rPr>
                <w:rFonts w:ascii="Calibri" w:hAnsi="Calibri"/>
                <w:color w:val="000000"/>
              </w:rPr>
            </w:pPr>
            <w:r>
              <w:rPr>
                <w:rFonts w:ascii="Calibri" w:hAnsi="Calibri"/>
                <w:color w:val="000000"/>
              </w:rPr>
              <w:t>-0.023 (0.003)</w:t>
            </w:r>
          </w:p>
        </w:tc>
        <w:tc>
          <w:tcPr>
            <w:tcW w:w="1673" w:type="dxa"/>
            <w:vAlign w:val="center"/>
          </w:tcPr>
          <w:p w14:paraId="4962B135" w14:textId="77777777" w:rsidR="005F7B62" w:rsidRDefault="005F7B62" w:rsidP="007B4E2B">
            <w:pPr>
              <w:jc w:val="center"/>
              <w:rPr>
                <w:rFonts w:ascii="Calibri" w:hAnsi="Calibri"/>
                <w:color w:val="000000"/>
              </w:rPr>
            </w:pPr>
            <w:r>
              <w:rPr>
                <w:rFonts w:ascii="Calibri" w:hAnsi="Calibri"/>
                <w:color w:val="000000"/>
              </w:rPr>
              <w:t>0.98 (0.97-0.98)</w:t>
            </w:r>
          </w:p>
        </w:tc>
      </w:tr>
      <w:tr w:rsidR="005F7B62" w:rsidRPr="00E32810" w14:paraId="2FCB7438" w14:textId="77777777" w:rsidTr="007B4E2B">
        <w:trPr>
          <w:trHeight w:val="300"/>
        </w:trPr>
        <w:tc>
          <w:tcPr>
            <w:tcW w:w="2553" w:type="dxa"/>
            <w:noWrap/>
            <w:vAlign w:val="center"/>
            <w:hideMark/>
          </w:tcPr>
          <w:p w14:paraId="13C18D2F" w14:textId="77777777" w:rsidR="005F7B62" w:rsidRPr="00E32810" w:rsidRDefault="005F7B62" w:rsidP="007B4E2B">
            <w:pPr>
              <w:rPr>
                <w:rFonts w:ascii="Calibri" w:eastAsia="Times New Roman" w:hAnsi="Calibri" w:cs="Times New Roman"/>
                <w:color w:val="000000"/>
                <w:lang w:eastAsia="en-GB"/>
              </w:rPr>
            </w:pPr>
            <w:r>
              <w:rPr>
                <w:rFonts w:ascii="Calibri" w:eastAsia="Times New Roman" w:hAnsi="Calibri" w:cs="Times New Roman"/>
                <w:color w:val="000000"/>
                <w:lang w:eastAsia="en-GB"/>
              </w:rPr>
              <w:t>C</w:t>
            </w:r>
            <w:r w:rsidRPr="00E32810">
              <w:rPr>
                <w:rFonts w:ascii="Calibri" w:eastAsia="Times New Roman" w:hAnsi="Calibri" w:cs="Times New Roman"/>
                <w:color w:val="000000"/>
                <w:lang w:eastAsia="en-GB"/>
              </w:rPr>
              <w:t>ons</w:t>
            </w:r>
            <w:r>
              <w:rPr>
                <w:rFonts w:ascii="Calibri" w:eastAsia="Times New Roman" w:hAnsi="Calibri" w:cs="Times New Roman"/>
                <w:color w:val="000000"/>
                <w:lang w:eastAsia="en-GB"/>
              </w:rPr>
              <w:t>tant</w:t>
            </w:r>
          </w:p>
        </w:tc>
        <w:tc>
          <w:tcPr>
            <w:tcW w:w="1672" w:type="dxa"/>
            <w:noWrap/>
            <w:vAlign w:val="center"/>
          </w:tcPr>
          <w:p w14:paraId="035205CA" w14:textId="77777777" w:rsidR="005F7B62" w:rsidRDefault="005F7B62" w:rsidP="007B4E2B">
            <w:pPr>
              <w:jc w:val="center"/>
              <w:rPr>
                <w:rFonts w:ascii="Calibri" w:hAnsi="Calibri"/>
                <w:color w:val="000000"/>
              </w:rPr>
            </w:pPr>
            <w:r>
              <w:rPr>
                <w:rFonts w:ascii="Calibri" w:hAnsi="Calibri"/>
                <w:color w:val="000000"/>
              </w:rPr>
              <w:t>-1.519 (0.076)</w:t>
            </w:r>
          </w:p>
        </w:tc>
        <w:tc>
          <w:tcPr>
            <w:tcW w:w="1672" w:type="dxa"/>
            <w:vAlign w:val="center"/>
          </w:tcPr>
          <w:p w14:paraId="7CB4D552" w14:textId="77777777" w:rsidR="005F7B62" w:rsidRDefault="005F7B62" w:rsidP="007B4E2B">
            <w:pPr>
              <w:jc w:val="center"/>
              <w:rPr>
                <w:rFonts w:ascii="Calibri" w:hAnsi="Calibri"/>
                <w:color w:val="000000"/>
              </w:rPr>
            </w:pPr>
          </w:p>
        </w:tc>
        <w:tc>
          <w:tcPr>
            <w:tcW w:w="1672" w:type="dxa"/>
            <w:vAlign w:val="center"/>
          </w:tcPr>
          <w:p w14:paraId="40689ACF" w14:textId="77777777" w:rsidR="005F7B62" w:rsidRDefault="005F7B62" w:rsidP="007B4E2B">
            <w:pPr>
              <w:jc w:val="center"/>
              <w:rPr>
                <w:rFonts w:ascii="Calibri" w:hAnsi="Calibri"/>
                <w:color w:val="000000"/>
              </w:rPr>
            </w:pPr>
            <w:r>
              <w:rPr>
                <w:rFonts w:ascii="Calibri" w:hAnsi="Calibri"/>
                <w:color w:val="000000"/>
              </w:rPr>
              <w:t>-2.054 (0.096)</w:t>
            </w:r>
          </w:p>
        </w:tc>
        <w:tc>
          <w:tcPr>
            <w:tcW w:w="1673" w:type="dxa"/>
            <w:vAlign w:val="center"/>
          </w:tcPr>
          <w:p w14:paraId="0807D6E3" w14:textId="77777777" w:rsidR="005F7B62" w:rsidRDefault="005F7B62" w:rsidP="007B4E2B">
            <w:pPr>
              <w:jc w:val="center"/>
              <w:rPr>
                <w:rFonts w:ascii="Calibri" w:hAnsi="Calibri"/>
                <w:color w:val="000000"/>
              </w:rPr>
            </w:pPr>
          </w:p>
        </w:tc>
      </w:tr>
      <w:tr w:rsidR="005F7B62" w:rsidRPr="00E32810" w14:paraId="69DD193A" w14:textId="77777777" w:rsidTr="007B4E2B">
        <w:trPr>
          <w:trHeight w:val="300"/>
        </w:trPr>
        <w:tc>
          <w:tcPr>
            <w:tcW w:w="2553" w:type="dxa"/>
            <w:noWrap/>
            <w:vAlign w:val="center"/>
            <w:hideMark/>
          </w:tcPr>
          <w:p w14:paraId="2B365333" w14:textId="77777777" w:rsidR="005F7B62" w:rsidRPr="00E32810" w:rsidRDefault="005F7B62" w:rsidP="007B4E2B">
            <w:pPr>
              <w:rPr>
                <w:rFonts w:ascii="Calibri" w:eastAsia="Times New Roman" w:hAnsi="Calibri" w:cs="Times New Roman"/>
                <w:color w:val="000000"/>
                <w:lang w:eastAsia="en-GB"/>
              </w:rPr>
            </w:pPr>
            <w:r w:rsidRPr="00E32810">
              <w:rPr>
                <w:rFonts w:ascii="Calibri" w:eastAsia="Times New Roman" w:hAnsi="Calibri" w:cs="Times New Roman"/>
                <w:color w:val="000000"/>
                <w:lang w:eastAsia="en-GB"/>
              </w:rPr>
              <w:t>Level 2 variance</w:t>
            </w:r>
          </w:p>
        </w:tc>
        <w:tc>
          <w:tcPr>
            <w:tcW w:w="1672" w:type="dxa"/>
            <w:noWrap/>
            <w:vAlign w:val="center"/>
          </w:tcPr>
          <w:p w14:paraId="5E22909C" w14:textId="77777777" w:rsidR="005F7B62" w:rsidRDefault="005F7B62" w:rsidP="007B4E2B">
            <w:pPr>
              <w:jc w:val="center"/>
              <w:rPr>
                <w:rFonts w:ascii="Calibri" w:hAnsi="Calibri"/>
                <w:color w:val="000000"/>
              </w:rPr>
            </w:pPr>
            <w:r>
              <w:rPr>
                <w:rFonts w:ascii="Calibri" w:hAnsi="Calibri"/>
                <w:color w:val="000000"/>
              </w:rPr>
              <w:t>0.012 (0.012)</w:t>
            </w:r>
          </w:p>
        </w:tc>
        <w:tc>
          <w:tcPr>
            <w:tcW w:w="1672" w:type="dxa"/>
            <w:vAlign w:val="center"/>
          </w:tcPr>
          <w:p w14:paraId="6F129CA4" w14:textId="77777777" w:rsidR="005F7B62" w:rsidRDefault="005F7B62" w:rsidP="007B4E2B">
            <w:pPr>
              <w:jc w:val="center"/>
              <w:rPr>
                <w:rFonts w:ascii="Calibri" w:hAnsi="Calibri"/>
                <w:color w:val="000000"/>
              </w:rPr>
            </w:pPr>
          </w:p>
        </w:tc>
        <w:tc>
          <w:tcPr>
            <w:tcW w:w="1672" w:type="dxa"/>
            <w:vAlign w:val="center"/>
          </w:tcPr>
          <w:p w14:paraId="381035F7" w14:textId="77777777" w:rsidR="005F7B62" w:rsidRDefault="005F7B62" w:rsidP="007B4E2B">
            <w:pPr>
              <w:jc w:val="center"/>
              <w:rPr>
                <w:rFonts w:ascii="Calibri" w:hAnsi="Calibri"/>
                <w:color w:val="000000"/>
              </w:rPr>
            </w:pPr>
            <w:r>
              <w:rPr>
                <w:rFonts w:ascii="Calibri" w:hAnsi="Calibri"/>
                <w:color w:val="000000"/>
              </w:rPr>
              <w:t>0.017 (0.020)</w:t>
            </w:r>
          </w:p>
        </w:tc>
        <w:tc>
          <w:tcPr>
            <w:tcW w:w="1673" w:type="dxa"/>
            <w:vAlign w:val="center"/>
          </w:tcPr>
          <w:p w14:paraId="60F31E45" w14:textId="77777777" w:rsidR="005F7B62" w:rsidRDefault="005F7B62" w:rsidP="007B4E2B">
            <w:pPr>
              <w:jc w:val="center"/>
              <w:rPr>
                <w:rFonts w:ascii="Calibri" w:hAnsi="Calibri"/>
                <w:color w:val="000000"/>
              </w:rPr>
            </w:pPr>
          </w:p>
        </w:tc>
      </w:tr>
    </w:tbl>
    <w:p w14:paraId="621DAFF1" w14:textId="77777777" w:rsidR="005F7B62" w:rsidRDefault="005F7B62" w:rsidP="007B4E2B">
      <w:pPr>
        <w:pStyle w:val="NoSpacing"/>
        <w:jc w:val="both"/>
        <w:rPr>
          <w:rFonts w:ascii="Verdana" w:hAnsi="Verdana"/>
          <w:sz w:val="16"/>
          <w:vertAlign w:val="superscript"/>
        </w:rPr>
      </w:pPr>
    </w:p>
    <w:p w14:paraId="27F3A3A4" w14:textId="77777777" w:rsidR="005F7B62" w:rsidRPr="006878CC" w:rsidRDefault="005F7B62" w:rsidP="007B4E2B">
      <w:pPr>
        <w:pStyle w:val="NoSpacing"/>
        <w:jc w:val="both"/>
        <w:rPr>
          <w:rFonts w:ascii="Verdana" w:hAnsi="Verdana"/>
          <w:sz w:val="18"/>
          <w:szCs w:val="18"/>
        </w:rPr>
      </w:pPr>
      <w:proofErr w:type="spellStart"/>
      <w:proofErr w:type="gramStart"/>
      <w:r w:rsidRPr="006878CC">
        <w:rPr>
          <w:rFonts w:ascii="Verdana" w:hAnsi="Verdana"/>
          <w:sz w:val="18"/>
          <w:szCs w:val="18"/>
          <w:vertAlign w:val="superscript"/>
        </w:rPr>
        <w:t>a</w:t>
      </w:r>
      <w:r w:rsidRPr="006878CC">
        <w:rPr>
          <w:rFonts w:ascii="Verdana" w:hAnsi="Verdana"/>
          <w:sz w:val="18"/>
          <w:szCs w:val="18"/>
        </w:rPr>
        <w:t>Parameter</w:t>
      </w:r>
      <w:proofErr w:type="spellEnd"/>
      <w:proofErr w:type="gramEnd"/>
      <w:r w:rsidRPr="006878CC">
        <w:rPr>
          <w:rFonts w:ascii="Verdana" w:hAnsi="Verdana"/>
          <w:sz w:val="18"/>
          <w:szCs w:val="18"/>
        </w:rPr>
        <w:t xml:space="preserve"> retained in parsimonious model despite non-significance as the number of women in this strata was very small (n=25), limiting power. All other excluded interaction parameters were highly non-significant.</w:t>
      </w:r>
    </w:p>
    <w:p w14:paraId="4BA31FFB" w14:textId="77777777" w:rsidR="005F7B62" w:rsidRPr="004A6952" w:rsidRDefault="005F7B62" w:rsidP="007B4E2B">
      <w:pPr>
        <w:pStyle w:val="NoSpacing"/>
        <w:jc w:val="both"/>
        <w:rPr>
          <w:rFonts w:ascii="Verdana" w:hAnsi="Verdana"/>
          <w:b/>
        </w:rPr>
      </w:pPr>
      <w:r w:rsidRPr="004A6952">
        <w:rPr>
          <w:rFonts w:ascii="Verdana" w:hAnsi="Verdana"/>
          <w:b/>
        </w:rPr>
        <w:lastRenderedPageBreak/>
        <w:t>Figure legends:</w:t>
      </w:r>
    </w:p>
    <w:p w14:paraId="4C0EB3F4" w14:textId="77777777" w:rsidR="005F7B62" w:rsidRDefault="005F7B62" w:rsidP="007B4E2B">
      <w:pPr>
        <w:pStyle w:val="NoSpacing"/>
        <w:jc w:val="both"/>
        <w:rPr>
          <w:rFonts w:ascii="Verdana" w:hAnsi="Verdana"/>
        </w:rPr>
      </w:pPr>
    </w:p>
    <w:p w14:paraId="6B1A7453" w14:textId="77777777" w:rsidR="005F7B62" w:rsidRDefault="005F7B62" w:rsidP="007B4E2B">
      <w:pPr>
        <w:pStyle w:val="NoSpacing"/>
        <w:jc w:val="both"/>
        <w:rPr>
          <w:rFonts w:ascii="Verdana" w:hAnsi="Verdana"/>
        </w:rPr>
      </w:pPr>
    </w:p>
    <w:p w14:paraId="70ED8870" w14:textId="77777777" w:rsidR="005F7B62" w:rsidRDefault="005F7B62" w:rsidP="007B4E2B">
      <w:pPr>
        <w:pStyle w:val="NoSpacing"/>
        <w:jc w:val="both"/>
        <w:rPr>
          <w:rFonts w:ascii="Verdana" w:hAnsi="Verdana"/>
        </w:rPr>
      </w:pPr>
      <w:r w:rsidRPr="00B15FD7">
        <w:rPr>
          <w:rFonts w:ascii="Verdana" w:hAnsi="Verdana"/>
        </w:rPr>
        <w:t>Figure 1: Synthetic estimates of smoking prevalence (by quintile) by PCT</w:t>
      </w:r>
    </w:p>
    <w:p w14:paraId="63982D4B" w14:textId="77777777" w:rsidR="005F7B62" w:rsidRDefault="005F7B62" w:rsidP="007B4E2B">
      <w:pPr>
        <w:pStyle w:val="NoSpacing"/>
        <w:jc w:val="both"/>
        <w:rPr>
          <w:rFonts w:ascii="Verdana" w:hAnsi="Verdana"/>
        </w:rPr>
      </w:pPr>
    </w:p>
    <w:p w14:paraId="600E72C8" w14:textId="77777777" w:rsidR="005F7B62" w:rsidRDefault="005F7B62" w:rsidP="007B4E2B">
      <w:pPr>
        <w:pStyle w:val="NoSpacing"/>
        <w:jc w:val="both"/>
        <w:rPr>
          <w:rFonts w:ascii="Verdana" w:hAnsi="Verdana"/>
        </w:rPr>
      </w:pPr>
    </w:p>
    <w:p w14:paraId="25564903" w14:textId="77777777" w:rsidR="005F7B62" w:rsidRDefault="005F7B62" w:rsidP="007B4E2B">
      <w:pPr>
        <w:pStyle w:val="NoSpacing"/>
        <w:jc w:val="both"/>
        <w:rPr>
          <w:rFonts w:ascii="Verdana" w:hAnsi="Verdana"/>
        </w:rPr>
      </w:pPr>
      <w:r w:rsidRPr="00B15FD7">
        <w:rPr>
          <w:rFonts w:ascii="Verdana" w:hAnsi="Verdana"/>
        </w:rPr>
        <w:t>Figure 2: Bland-Altman plot to show agreement between model-based estimates of smoking at delivery and SATOD data (horizontal lines show the bias and 95% limits of agreement)</w:t>
      </w:r>
    </w:p>
    <w:p w14:paraId="7A3BB035" w14:textId="77777777" w:rsidR="005F7B62" w:rsidRDefault="005F7B62" w:rsidP="007B4E2B">
      <w:pPr>
        <w:pStyle w:val="NoSpacing"/>
        <w:jc w:val="both"/>
        <w:rPr>
          <w:rFonts w:ascii="Verdana" w:hAnsi="Verdana"/>
        </w:rPr>
      </w:pPr>
    </w:p>
    <w:p w14:paraId="5EE3E354" w14:textId="77777777" w:rsidR="005F7B62" w:rsidRDefault="005F7B62" w:rsidP="007B4E2B">
      <w:pPr>
        <w:pStyle w:val="NoSpacing"/>
        <w:jc w:val="both"/>
        <w:rPr>
          <w:rFonts w:ascii="Verdana" w:hAnsi="Verdana"/>
        </w:rPr>
      </w:pPr>
    </w:p>
    <w:p w14:paraId="6794F3F1" w14:textId="77777777" w:rsidR="005F7B62" w:rsidRDefault="005F7B62" w:rsidP="007B4E2B">
      <w:pPr>
        <w:pStyle w:val="NoSpacing"/>
        <w:jc w:val="both"/>
        <w:rPr>
          <w:rFonts w:ascii="Verdana" w:hAnsi="Verdana"/>
        </w:rPr>
      </w:pPr>
    </w:p>
    <w:p w14:paraId="585F4A01" w14:textId="77777777" w:rsidR="005F7B62" w:rsidRDefault="005F7B62" w:rsidP="007B4E2B">
      <w:pPr>
        <w:pStyle w:val="NoSpacing"/>
        <w:jc w:val="both"/>
        <w:rPr>
          <w:rFonts w:ascii="Verdana" w:hAnsi="Verdana"/>
        </w:rPr>
      </w:pPr>
    </w:p>
    <w:p w14:paraId="5AA6DFF4" w14:textId="77777777" w:rsidR="005F7B62" w:rsidRDefault="005F7B62" w:rsidP="007B4E2B">
      <w:pPr>
        <w:pStyle w:val="NoSpacing"/>
        <w:jc w:val="both"/>
        <w:rPr>
          <w:rFonts w:ascii="Verdana" w:hAnsi="Verdana"/>
        </w:rPr>
      </w:pPr>
    </w:p>
    <w:p w14:paraId="4EEA7A71" w14:textId="77777777" w:rsidR="005F7B62" w:rsidRDefault="005F7B62" w:rsidP="007B4E2B">
      <w:pPr>
        <w:pStyle w:val="NoSpacing"/>
        <w:jc w:val="both"/>
        <w:rPr>
          <w:rFonts w:ascii="Verdana" w:hAnsi="Verdana"/>
        </w:rPr>
      </w:pPr>
    </w:p>
    <w:p w14:paraId="146822FC" w14:textId="77777777" w:rsidR="005F7B62" w:rsidRDefault="005F7B62" w:rsidP="007B4E2B">
      <w:pPr>
        <w:pStyle w:val="NoSpacing"/>
        <w:jc w:val="both"/>
        <w:rPr>
          <w:rFonts w:ascii="Verdana" w:hAnsi="Verdana"/>
        </w:rPr>
      </w:pPr>
    </w:p>
    <w:p w14:paraId="7A12E088" w14:textId="77777777" w:rsidR="005F7B62" w:rsidRDefault="005F7B62" w:rsidP="007B4E2B">
      <w:pPr>
        <w:pStyle w:val="NoSpacing"/>
        <w:jc w:val="both"/>
        <w:rPr>
          <w:rFonts w:ascii="Verdana" w:hAnsi="Verdana"/>
        </w:rPr>
      </w:pPr>
    </w:p>
    <w:p w14:paraId="413CAA15" w14:textId="77777777" w:rsidR="005F7B62" w:rsidRDefault="005F7B62" w:rsidP="007B4E2B">
      <w:pPr>
        <w:pStyle w:val="NoSpacing"/>
        <w:jc w:val="both"/>
        <w:rPr>
          <w:rFonts w:ascii="Verdana" w:hAnsi="Verdana"/>
        </w:rPr>
      </w:pPr>
    </w:p>
    <w:p w14:paraId="4F55B807" w14:textId="77777777" w:rsidR="005F7B62" w:rsidRDefault="005F7B62" w:rsidP="007B4E2B">
      <w:pPr>
        <w:pStyle w:val="NoSpacing"/>
        <w:jc w:val="both"/>
        <w:rPr>
          <w:rFonts w:ascii="Verdana" w:hAnsi="Verdana"/>
        </w:rPr>
      </w:pPr>
    </w:p>
    <w:p w14:paraId="2681BA90" w14:textId="77777777" w:rsidR="005F7B62" w:rsidRDefault="005F7B62" w:rsidP="007B4E2B">
      <w:pPr>
        <w:pStyle w:val="NoSpacing"/>
        <w:jc w:val="both"/>
        <w:rPr>
          <w:rFonts w:ascii="Verdana" w:hAnsi="Verdana"/>
        </w:rPr>
      </w:pPr>
    </w:p>
    <w:p w14:paraId="59DEEDDE" w14:textId="77777777" w:rsidR="005F7B62" w:rsidRDefault="005F7B62" w:rsidP="007B4E2B">
      <w:pPr>
        <w:pStyle w:val="NoSpacing"/>
        <w:jc w:val="both"/>
        <w:rPr>
          <w:rFonts w:ascii="Verdana" w:hAnsi="Verdana"/>
        </w:rPr>
      </w:pPr>
    </w:p>
    <w:p w14:paraId="58584965" w14:textId="77777777" w:rsidR="005F7B62" w:rsidRDefault="005F7B62" w:rsidP="007B4E2B">
      <w:pPr>
        <w:pStyle w:val="NoSpacing"/>
        <w:jc w:val="both"/>
        <w:rPr>
          <w:rFonts w:ascii="Verdana" w:hAnsi="Verdana"/>
        </w:rPr>
      </w:pPr>
    </w:p>
    <w:p w14:paraId="4E04892C" w14:textId="77777777" w:rsidR="005F7B62" w:rsidRDefault="005F7B62" w:rsidP="007B4E2B">
      <w:pPr>
        <w:pStyle w:val="NoSpacing"/>
        <w:jc w:val="both"/>
        <w:rPr>
          <w:rFonts w:ascii="Verdana" w:hAnsi="Verdana"/>
        </w:rPr>
      </w:pPr>
    </w:p>
    <w:p w14:paraId="1F0F42E4" w14:textId="77777777" w:rsidR="005F7B62" w:rsidRDefault="005F7B62" w:rsidP="007B4E2B">
      <w:pPr>
        <w:pStyle w:val="NoSpacing"/>
        <w:jc w:val="both"/>
        <w:rPr>
          <w:rFonts w:ascii="Verdana" w:hAnsi="Verdana"/>
        </w:rPr>
      </w:pPr>
    </w:p>
    <w:p w14:paraId="2785D981" w14:textId="77777777" w:rsidR="005F7B62" w:rsidRDefault="005F7B62" w:rsidP="007B4E2B">
      <w:pPr>
        <w:pStyle w:val="NoSpacing"/>
        <w:jc w:val="both"/>
        <w:rPr>
          <w:rFonts w:ascii="Verdana" w:hAnsi="Verdana"/>
        </w:rPr>
      </w:pPr>
    </w:p>
    <w:p w14:paraId="54F5F7F0" w14:textId="77777777" w:rsidR="005F7B62" w:rsidRDefault="005F7B62" w:rsidP="007B4E2B">
      <w:pPr>
        <w:pStyle w:val="NoSpacing"/>
        <w:jc w:val="both"/>
        <w:rPr>
          <w:rFonts w:ascii="Verdana" w:hAnsi="Verdana"/>
        </w:rPr>
      </w:pPr>
    </w:p>
    <w:p w14:paraId="7B35965D" w14:textId="77777777" w:rsidR="005F7B62" w:rsidRDefault="005F7B62" w:rsidP="007B4E2B">
      <w:pPr>
        <w:pStyle w:val="NoSpacing"/>
        <w:jc w:val="both"/>
        <w:rPr>
          <w:rFonts w:ascii="Verdana" w:hAnsi="Verdana"/>
        </w:rPr>
      </w:pPr>
    </w:p>
    <w:p w14:paraId="51D6685E" w14:textId="77777777" w:rsidR="005F7B62" w:rsidRDefault="005F7B62" w:rsidP="007B4E2B">
      <w:pPr>
        <w:pStyle w:val="NoSpacing"/>
        <w:jc w:val="both"/>
        <w:rPr>
          <w:rFonts w:ascii="Verdana" w:hAnsi="Verdana"/>
        </w:rPr>
      </w:pPr>
    </w:p>
    <w:p w14:paraId="296EBE48" w14:textId="77777777" w:rsidR="005F7B62" w:rsidRDefault="005F7B62" w:rsidP="007B4E2B">
      <w:pPr>
        <w:pStyle w:val="NoSpacing"/>
        <w:jc w:val="both"/>
        <w:rPr>
          <w:rFonts w:ascii="Verdana" w:hAnsi="Verdana"/>
        </w:rPr>
      </w:pPr>
    </w:p>
    <w:p w14:paraId="1886ABB9" w14:textId="77777777" w:rsidR="005F7B62" w:rsidRDefault="005F7B62" w:rsidP="007B4E2B">
      <w:pPr>
        <w:pStyle w:val="NoSpacing"/>
        <w:jc w:val="both"/>
        <w:rPr>
          <w:rFonts w:ascii="Verdana" w:hAnsi="Verdana"/>
        </w:rPr>
      </w:pPr>
    </w:p>
    <w:p w14:paraId="01768A57" w14:textId="77777777" w:rsidR="005F7B62" w:rsidRDefault="005F7B62" w:rsidP="007B4E2B">
      <w:pPr>
        <w:pStyle w:val="NoSpacing"/>
        <w:jc w:val="both"/>
        <w:rPr>
          <w:rFonts w:ascii="Verdana" w:hAnsi="Verdana"/>
        </w:rPr>
      </w:pPr>
    </w:p>
    <w:p w14:paraId="3BA5CC93" w14:textId="77777777" w:rsidR="005F7B62" w:rsidRDefault="005F7B62" w:rsidP="007B4E2B">
      <w:pPr>
        <w:pStyle w:val="NoSpacing"/>
        <w:jc w:val="both"/>
        <w:rPr>
          <w:rFonts w:ascii="Verdana" w:hAnsi="Verdana"/>
        </w:rPr>
      </w:pPr>
    </w:p>
    <w:p w14:paraId="62A5FA3E" w14:textId="77777777" w:rsidR="005F7B62" w:rsidRDefault="005F7B62" w:rsidP="007B4E2B">
      <w:pPr>
        <w:pStyle w:val="NoSpacing"/>
        <w:jc w:val="both"/>
        <w:rPr>
          <w:rFonts w:ascii="Verdana" w:hAnsi="Verdana"/>
        </w:rPr>
      </w:pPr>
    </w:p>
    <w:p w14:paraId="147E15D6" w14:textId="77777777" w:rsidR="005F7B62" w:rsidRDefault="005F7B62" w:rsidP="007B4E2B">
      <w:pPr>
        <w:pStyle w:val="NoSpacing"/>
        <w:jc w:val="both"/>
        <w:rPr>
          <w:rFonts w:ascii="Verdana" w:hAnsi="Verdana"/>
        </w:rPr>
      </w:pPr>
    </w:p>
    <w:p w14:paraId="44186924" w14:textId="77777777" w:rsidR="005F7B62" w:rsidRDefault="005F7B62" w:rsidP="007B4E2B">
      <w:pPr>
        <w:pStyle w:val="NoSpacing"/>
        <w:jc w:val="both"/>
        <w:rPr>
          <w:rFonts w:ascii="Verdana" w:hAnsi="Verdana"/>
        </w:rPr>
      </w:pPr>
    </w:p>
    <w:p w14:paraId="77865EF8" w14:textId="77777777" w:rsidR="005F7B62" w:rsidRDefault="005F7B62" w:rsidP="007B4E2B">
      <w:pPr>
        <w:pStyle w:val="NoSpacing"/>
        <w:jc w:val="both"/>
        <w:rPr>
          <w:rFonts w:ascii="Verdana" w:hAnsi="Verdana"/>
        </w:rPr>
      </w:pPr>
    </w:p>
    <w:p w14:paraId="78F64893" w14:textId="77777777" w:rsidR="005F7B62" w:rsidRDefault="005F7B62" w:rsidP="007B4E2B">
      <w:pPr>
        <w:pStyle w:val="NoSpacing"/>
        <w:jc w:val="both"/>
        <w:rPr>
          <w:rFonts w:ascii="Verdana" w:hAnsi="Verdana"/>
        </w:rPr>
      </w:pPr>
    </w:p>
    <w:p w14:paraId="1B4B329B" w14:textId="77777777" w:rsidR="005F7B62" w:rsidRDefault="005F7B62" w:rsidP="007B4E2B">
      <w:pPr>
        <w:pStyle w:val="NoSpacing"/>
        <w:jc w:val="both"/>
        <w:rPr>
          <w:rFonts w:ascii="Verdana" w:hAnsi="Verdana"/>
        </w:rPr>
      </w:pPr>
    </w:p>
    <w:p w14:paraId="2EE119E2" w14:textId="77777777" w:rsidR="005F7B62" w:rsidRDefault="005F7B62" w:rsidP="007B4E2B">
      <w:pPr>
        <w:pStyle w:val="NoSpacing"/>
        <w:jc w:val="both"/>
        <w:rPr>
          <w:rFonts w:ascii="Verdana" w:hAnsi="Verdana"/>
        </w:rPr>
      </w:pPr>
    </w:p>
    <w:p w14:paraId="0CAAC813" w14:textId="77777777" w:rsidR="005F7B62" w:rsidRDefault="005F7B62" w:rsidP="007B4E2B">
      <w:pPr>
        <w:pStyle w:val="NoSpacing"/>
        <w:jc w:val="both"/>
        <w:rPr>
          <w:rFonts w:ascii="Verdana" w:hAnsi="Verdana"/>
        </w:rPr>
      </w:pPr>
    </w:p>
    <w:p w14:paraId="0ECA33A2" w14:textId="77777777" w:rsidR="005F7B62" w:rsidRDefault="005F7B62" w:rsidP="007B4E2B">
      <w:pPr>
        <w:pStyle w:val="NoSpacing"/>
        <w:jc w:val="both"/>
        <w:rPr>
          <w:rFonts w:ascii="Verdana" w:hAnsi="Verdana"/>
        </w:rPr>
      </w:pPr>
    </w:p>
    <w:p w14:paraId="7E2B8033" w14:textId="77777777" w:rsidR="005F7B62" w:rsidRDefault="005F7B62" w:rsidP="007B4E2B">
      <w:pPr>
        <w:pStyle w:val="NoSpacing"/>
        <w:jc w:val="both"/>
        <w:rPr>
          <w:rFonts w:ascii="Verdana" w:hAnsi="Verdana"/>
        </w:rPr>
      </w:pPr>
    </w:p>
    <w:p w14:paraId="65E22720" w14:textId="77777777" w:rsidR="005F7B62" w:rsidRDefault="005F7B62" w:rsidP="007B4E2B">
      <w:pPr>
        <w:pStyle w:val="NoSpacing"/>
        <w:jc w:val="both"/>
        <w:rPr>
          <w:rFonts w:ascii="Verdana" w:hAnsi="Verdana"/>
        </w:rPr>
      </w:pPr>
    </w:p>
    <w:p w14:paraId="3003E78B" w14:textId="77777777" w:rsidR="005F7B62" w:rsidRDefault="005F7B62" w:rsidP="007B4E2B">
      <w:pPr>
        <w:pStyle w:val="NoSpacing"/>
        <w:jc w:val="both"/>
        <w:rPr>
          <w:rFonts w:ascii="Verdana" w:hAnsi="Verdana"/>
        </w:rPr>
      </w:pPr>
    </w:p>
    <w:p w14:paraId="20D68F12" w14:textId="77777777" w:rsidR="005F7B62" w:rsidRDefault="005F7B62" w:rsidP="007B4E2B">
      <w:pPr>
        <w:pStyle w:val="NoSpacing"/>
        <w:jc w:val="both"/>
        <w:rPr>
          <w:rFonts w:ascii="Verdana" w:hAnsi="Verdana"/>
        </w:rPr>
      </w:pPr>
    </w:p>
    <w:p w14:paraId="623B7BA1" w14:textId="77777777" w:rsidR="005F7B62" w:rsidRDefault="005F7B62" w:rsidP="007B4E2B">
      <w:pPr>
        <w:pStyle w:val="NoSpacing"/>
        <w:jc w:val="both"/>
        <w:rPr>
          <w:rFonts w:ascii="Verdana" w:hAnsi="Verdana"/>
        </w:rPr>
      </w:pPr>
    </w:p>
    <w:p w14:paraId="1F02C461" w14:textId="77777777" w:rsidR="005F7B62" w:rsidRDefault="005F7B62" w:rsidP="007B4E2B">
      <w:pPr>
        <w:pStyle w:val="NoSpacing"/>
        <w:jc w:val="both"/>
        <w:rPr>
          <w:rFonts w:ascii="Verdana" w:hAnsi="Verdana"/>
        </w:rPr>
      </w:pPr>
    </w:p>
    <w:p w14:paraId="48347E80" w14:textId="77777777" w:rsidR="005F7B62" w:rsidRDefault="005F7B62" w:rsidP="007B4E2B">
      <w:pPr>
        <w:pStyle w:val="NoSpacing"/>
        <w:jc w:val="both"/>
        <w:rPr>
          <w:rFonts w:ascii="Verdana" w:hAnsi="Verdana"/>
        </w:rPr>
      </w:pPr>
    </w:p>
    <w:p w14:paraId="20E5D65C" w14:textId="77777777" w:rsidR="005F7B62" w:rsidRDefault="005F7B62" w:rsidP="007B4E2B">
      <w:pPr>
        <w:pStyle w:val="NoSpacing"/>
        <w:jc w:val="both"/>
        <w:rPr>
          <w:rFonts w:ascii="Verdana" w:hAnsi="Verdana"/>
        </w:rPr>
      </w:pPr>
    </w:p>
    <w:p w14:paraId="2C5D4371" w14:textId="77777777" w:rsidR="005F7B62" w:rsidRDefault="005F7B62" w:rsidP="007B4E2B">
      <w:pPr>
        <w:pStyle w:val="NoSpacing"/>
        <w:jc w:val="both"/>
        <w:rPr>
          <w:rFonts w:ascii="Verdana" w:hAnsi="Verdana"/>
        </w:rPr>
      </w:pPr>
    </w:p>
    <w:p w14:paraId="10F10C7D" w14:textId="77777777" w:rsidR="005F7B62" w:rsidRDefault="005F7B62" w:rsidP="007B4E2B">
      <w:pPr>
        <w:pStyle w:val="NoSpacing"/>
        <w:jc w:val="both"/>
        <w:rPr>
          <w:rFonts w:ascii="Verdana" w:hAnsi="Verdana"/>
        </w:rPr>
      </w:pPr>
    </w:p>
    <w:p w14:paraId="0A78C100" w14:textId="77777777" w:rsidR="005F7B62" w:rsidRDefault="005F7B62" w:rsidP="007B4E2B">
      <w:pPr>
        <w:pStyle w:val="NoSpacing"/>
        <w:jc w:val="both"/>
        <w:rPr>
          <w:rFonts w:ascii="Verdana" w:hAnsi="Verdana"/>
        </w:rPr>
      </w:pPr>
    </w:p>
    <w:p w14:paraId="5590C935" w14:textId="77777777" w:rsidR="005F7B62" w:rsidRPr="00F118EC" w:rsidRDefault="005F7B62" w:rsidP="007B4E2B">
      <w:pPr>
        <w:pStyle w:val="NoSpacing"/>
        <w:jc w:val="both"/>
        <w:rPr>
          <w:rFonts w:ascii="Verdana" w:hAnsi="Verdana"/>
          <w:b/>
        </w:rPr>
      </w:pPr>
      <w:r w:rsidRPr="00F118EC">
        <w:rPr>
          <w:rFonts w:ascii="Verdana" w:hAnsi="Verdana"/>
          <w:b/>
        </w:rPr>
        <w:lastRenderedPageBreak/>
        <w:t>Additional files:</w:t>
      </w:r>
    </w:p>
    <w:p w14:paraId="2E83D68A" w14:textId="77777777" w:rsidR="005F7B62" w:rsidRDefault="005F7B62" w:rsidP="007B4E2B">
      <w:pPr>
        <w:pStyle w:val="NoSpacing"/>
        <w:jc w:val="both"/>
        <w:rPr>
          <w:rFonts w:ascii="Verdana" w:hAnsi="Verdana"/>
        </w:rPr>
      </w:pPr>
    </w:p>
    <w:p w14:paraId="12CA2F46" w14:textId="77777777" w:rsidR="005F7B62" w:rsidRPr="005637ED" w:rsidRDefault="005F7B62" w:rsidP="007B4E2B">
      <w:pPr>
        <w:pStyle w:val="NoSpacing"/>
        <w:jc w:val="both"/>
        <w:rPr>
          <w:rFonts w:ascii="Verdana" w:hAnsi="Verdana"/>
          <w:lang w:val="en-US"/>
        </w:rPr>
      </w:pPr>
      <w:r>
        <w:rPr>
          <w:rFonts w:ascii="Verdana" w:hAnsi="Verdana"/>
        </w:rPr>
        <w:t xml:space="preserve">Additional file 1 (pdf): </w:t>
      </w:r>
      <w:r w:rsidRPr="005637ED">
        <w:rPr>
          <w:rFonts w:ascii="Verdana" w:hAnsi="Verdana"/>
          <w:lang w:val="en-US"/>
        </w:rPr>
        <w:t xml:space="preserve">Overview of methods and calculation of Bayesian 95% credible intervals </w:t>
      </w:r>
    </w:p>
    <w:p w14:paraId="71843A50" w14:textId="77777777" w:rsidR="005F7B62" w:rsidRDefault="005F7B62" w:rsidP="007B4E2B">
      <w:pPr>
        <w:pStyle w:val="NoSpacing"/>
        <w:jc w:val="both"/>
        <w:rPr>
          <w:rFonts w:ascii="Verdana" w:hAnsi="Verdana"/>
        </w:rPr>
      </w:pPr>
    </w:p>
    <w:p w14:paraId="78BDFD81" w14:textId="77777777" w:rsidR="005F7B62" w:rsidRDefault="005F7B62" w:rsidP="007B4E2B">
      <w:pPr>
        <w:pStyle w:val="NoSpacing"/>
        <w:jc w:val="both"/>
        <w:rPr>
          <w:rFonts w:ascii="Verdana" w:hAnsi="Verdana"/>
        </w:rPr>
      </w:pPr>
    </w:p>
    <w:p w14:paraId="2BB3342D" w14:textId="77777777" w:rsidR="005F7B62" w:rsidRDefault="005F7B62" w:rsidP="007B4E2B">
      <w:pPr>
        <w:pStyle w:val="NoSpacing"/>
        <w:jc w:val="both"/>
        <w:rPr>
          <w:rFonts w:ascii="Verdana" w:hAnsi="Verdana"/>
        </w:rPr>
      </w:pPr>
      <w:r>
        <w:rPr>
          <w:rFonts w:ascii="Verdana" w:hAnsi="Verdana"/>
        </w:rPr>
        <w:t xml:space="preserve">Additional file 2 (pdf): </w:t>
      </w:r>
      <w:r w:rsidRPr="00AF5F41">
        <w:rPr>
          <w:rFonts w:ascii="Verdana" w:hAnsi="Verdana"/>
        </w:rPr>
        <w:t xml:space="preserve">Normal probability </w:t>
      </w:r>
      <w:r>
        <w:rPr>
          <w:rFonts w:ascii="Verdana" w:hAnsi="Verdana"/>
        </w:rPr>
        <w:t>plots of PCT-level residuals from the IFS models</w:t>
      </w:r>
    </w:p>
    <w:p w14:paraId="14E574FF" w14:textId="77777777" w:rsidR="005F7B62" w:rsidRDefault="005F7B62" w:rsidP="007B4E2B">
      <w:pPr>
        <w:pStyle w:val="NoSpacing"/>
        <w:jc w:val="both"/>
        <w:rPr>
          <w:rFonts w:ascii="Verdana" w:hAnsi="Verdana"/>
        </w:rPr>
      </w:pPr>
    </w:p>
    <w:p w14:paraId="41C61B86" w14:textId="77777777" w:rsidR="005F7B62" w:rsidRDefault="005F7B62" w:rsidP="007B4E2B">
      <w:pPr>
        <w:pStyle w:val="NoSpacing"/>
        <w:jc w:val="both"/>
        <w:rPr>
          <w:rFonts w:ascii="Verdana" w:hAnsi="Verdana"/>
        </w:rPr>
      </w:pPr>
    </w:p>
    <w:p w14:paraId="681AC90E" w14:textId="77777777" w:rsidR="005F7B62" w:rsidRDefault="005F7B62" w:rsidP="007B4E2B">
      <w:pPr>
        <w:pStyle w:val="NoSpacing"/>
        <w:jc w:val="both"/>
        <w:rPr>
          <w:rFonts w:ascii="Verdana" w:hAnsi="Verdana"/>
        </w:rPr>
      </w:pPr>
      <w:r>
        <w:rPr>
          <w:rFonts w:ascii="Verdana" w:hAnsi="Verdana"/>
        </w:rPr>
        <w:t>Additional file 3 (pdf): Geographical variation in PCT-level residuals from the IFS models</w:t>
      </w:r>
    </w:p>
    <w:p w14:paraId="66A01512" w14:textId="77777777" w:rsidR="005F7B62" w:rsidRDefault="005F7B62" w:rsidP="007B4E2B">
      <w:pPr>
        <w:pStyle w:val="NoSpacing"/>
        <w:jc w:val="both"/>
        <w:rPr>
          <w:rFonts w:ascii="Verdana" w:hAnsi="Verdana"/>
        </w:rPr>
      </w:pPr>
    </w:p>
    <w:p w14:paraId="26553E77" w14:textId="77777777" w:rsidR="005F7B62" w:rsidRDefault="005F7B62" w:rsidP="007B4E2B">
      <w:pPr>
        <w:pStyle w:val="NoSpacing"/>
        <w:jc w:val="both"/>
        <w:rPr>
          <w:rFonts w:ascii="Verdana" w:hAnsi="Verdana"/>
        </w:rPr>
      </w:pPr>
    </w:p>
    <w:p w14:paraId="2F4A166D" w14:textId="77777777" w:rsidR="005F7B62" w:rsidRDefault="005F7B62" w:rsidP="007B4E2B">
      <w:pPr>
        <w:pStyle w:val="NoSpacing"/>
        <w:jc w:val="both"/>
        <w:rPr>
          <w:rFonts w:ascii="Verdana" w:hAnsi="Verdana"/>
        </w:rPr>
      </w:pPr>
      <w:r>
        <w:rPr>
          <w:rFonts w:ascii="Verdana" w:hAnsi="Verdana"/>
        </w:rPr>
        <w:t>Additional file 4 (</w:t>
      </w:r>
      <w:proofErr w:type="spellStart"/>
      <w:r>
        <w:rPr>
          <w:rFonts w:ascii="Verdana" w:hAnsi="Verdana"/>
        </w:rPr>
        <w:t>xlsx</w:t>
      </w:r>
      <w:proofErr w:type="spellEnd"/>
      <w:r>
        <w:rPr>
          <w:rFonts w:ascii="Verdana" w:hAnsi="Verdana"/>
        </w:rPr>
        <w:t>): Point estimates and 95% credible intervals for the prevalence of smoking ever during pregnancy and at delivery by PCT</w:t>
      </w:r>
    </w:p>
    <w:p w14:paraId="484B1A1B" w14:textId="77777777" w:rsidR="005F7B62" w:rsidRDefault="005F7B62" w:rsidP="007B4E2B">
      <w:pPr>
        <w:pStyle w:val="NoSpacing"/>
        <w:jc w:val="both"/>
        <w:rPr>
          <w:rFonts w:ascii="Verdana" w:hAnsi="Verdana"/>
        </w:rPr>
      </w:pPr>
    </w:p>
    <w:p w14:paraId="043554BB" w14:textId="77777777" w:rsidR="005F7B62" w:rsidRDefault="005F7B62" w:rsidP="007B4E2B">
      <w:pPr>
        <w:pStyle w:val="NoSpacing"/>
        <w:jc w:val="both"/>
        <w:rPr>
          <w:rFonts w:ascii="Verdana" w:hAnsi="Verdana"/>
        </w:rPr>
      </w:pPr>
    </w:p>
    <w:p w14:paraId="0D003206" w14:textId="77777777" w:rsidR="005F7B62" w:rsidRDefault="005F7B62" w:rsidP="007B4E2B">
      <w:pPr>
        <w:pStyle w:val="NoSpacing"/>
        <w:jc w:val="both"/>
        <w:rPr>
          <w:rFonts w:ascii="Verdana" w:hAnsi="Verdana"/>
        </w:rPr>
      </w:pPr>
      <w:r>
        <w:rPr>
          <w:rFonts w:ascii="Verdana" w:hAnsi="Verdana"/>
        </w:rPr>
        <w:t xml:space="preserve">Additional file 5 (pdf): </w:t>
      </w:r>
      <w:r w:rsidRPr="00515070">
        <w:rPr>
          <w:rFonts w:ascii="Verdana" w:hAnsi="Verdana"/>
        </w:rPr>
        <w:t>Synthetic estimates of smoking prevalence (by quintile) by PCT</w:t>
      </w:r>
      <w:r>
        <w:rPr>
          <w:rFonts w:ascii="Verdana" w:hAnsi="Verdana"/>
        </w:rPr>
        <w:t xml:space="preserve"> (colour)</w:t>
      </w:r>
    </w:p>
    <w:p w14:paraId="5B8BCA79" w14:textId="77777777" w:rsidR="005F7B62" w:rsidRDefault="005F7B62" w:rsidP="007B4E2B">
      <w:pPr>
        <w:pStyle w:val="NoSpacing"/>
        <w:jc w:val="both"/>
        <w:rPr>
          <w:rFonts w:ascii="Verdana" w:hAnsi="Verdana"/>
        </w:rPr>
      </w:pPr>
    </w:p>
    <w:p w14:paraId="1CE369F0" w14:textId="77777777" w:rsidR="005F7B62" w:rsidRDefault="005F7B62" w:rsidP="007B4E2B">
      <w:pPr>
        <w:pStyle w:val="NoSpacing"/>
        <w:jc w:val="both"/>
        <w:rPr>
          <w:rFonts w:ascii="Verdana" w:hAnsi="Verdana"/>
        </w:rPr>
      </w:pPr>
    </w:p>
    <w:p w14:paraId="5B63D7D4" w14:textId="77777777" w:rsidR="005F7B62" w:rsidRDefault="005F7B62" w:rsidP="007B4E2B">
      <w:pPr>
        <w:pStyle w:val="NoSpacing"/>
        <w:jc w:val="both"/>
        <w:rPr>
          <w:rFonts w:ascii="Verdana" w:hAnsi="Verdana"/>
        </w:rPr>
      </w:pPr>
      <w:r>
        <w:rPr>
          <w:rFonts w:ascii="Verdana" w:hAnsi="Verdana"/>
        </w:rPr>
        <w:t>Additional file 6 (pdf): Comparison of IFS-based estimates and model-based synthetic estimates</w:t>
      </w:r>
    </w:p>
    <w:p w14:paraId="205BD056" w14:textId="77777777" w:rsidR="005F7B62" w:rsidRDefault="005F7B62" w:rsidP="007B4E2B">
      <w:pPr>
        <w:pStyle w:val="NoSpacing"/>
        <w:jc w:val="both"/>
        <w:rPr>
          <w:rFonts w:ascii="Verdana" w:hAnsi="Verdana"/>
        </w:rPr>
      </w:pPr>
    </w:p>
    <w:p w14:paraId="7D54316E" w14:textId="77777777" w:rsidR="005F7B62" w:rsidRDefault="005F7B62" w:rsidP="007B4E2B">
      <w:pPr>
        <w:pStyle w:val="NoSpacing"/>
        <w:jc w:val="both"/>
        <w:rPr>
          <w:rFonts w:ascii="Verdana" w:hAnsi="Verdana"/>
        </w:rPr>
      </w:pPr>
    </w:p>
    <w:p w14:paraId="21F94006" w14:textId="77777777" w:rsidR="00911DA6" w:rsidRDefault="00911DA6"/>
    <w:sectPr w:rsidR="00911DA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47318E" w14:textId="77777777" w:rsidR="00F2107D" w:rsidRDefault="00F2107D">
      <w:pPr>
        <w:spacing w:after="0" w:line="240" w:lineRule="auto"/>
      </w:pPr>
      <w:r>
        <w:separator/>
      </w:r>
    </w:p>
  </w:endnote>
  <w:endnote w:type="continuationSeparator" w:id="0">
    <w:p w14:paraId="076FC6C5" w14:textId="77777777" w:rsidR="00F2107D" w:rsidRDefault="00F21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3275288"/>
      <w:docPartObj>
        <w:docPartGallery w:val="Page Numbers (Bottom of Page)"/>
        <w:docPartUnique/>
      </w:docPartObj>
    </w:sdtPr>
    <w:sdtEndPr>
      <w:rPr>
        <w:noProof/>
      </w:rPr>
    </w:sdtEndPr>
    <w:sdtContent>
      <w:p w14:paraId="6A48EFC4" w14:textId="77777777" w:rsidR="00AB7779" w:rsidRDefault="00AB7779">
        <w:pPr>
          <w:pStyle w:val="Footer"/>
          <w:jc w:val="center"/>
        </w:pPr>
        <w:r>
          <w:fldChar w:fldCharType="begin"/>
        </w:r>
        <w:r>
          <w:instrText xml:space="preserve"> PAGE   \* MERGEFORMAT </w:instrText>
        </w:r>
        <w:r>
          <w:fldChar w:fldCharType="separate"/>
        </w:r>
        <w:r w:rsidR="00905C02">
          <w:rPr>
            <w:noProof/>
          </w:rPr>
          <w:t>2</w:t>
        </w:r>
        <w:r>
          <w:rPr>
            <w:noProof/>
          </w:rPr>
          <w:fldChar w:fldCharType="end"/>
        </w:r>
      </w:p>
    </w:sdtContent>
  </w:sdt>
  <w:p w14:paraId="0B232A9E" w14:textId="77777777" w:rsidR="00AB7779" w:rsidRDefault="00AB777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A7FCE3" w14:textId="77777777" w:rsidR="00F2107D" w:rsidRDefault="00F2107D">
      <w:pPr>
        <w:spacing w:after="0" w:line="240" w:lineRule="auto"/>
      </w:pPr>
      <w:r>
        <w:separator/>
      </w:r>
    </w:p>
  </w:footnote>
  <w:footnote w:type="continuationSeparator" w:id="0">
    <w:p w14:paraId="3B9D0B32" w14:textId="77777777" w:rsidR="00F2107D" w:rsidRDefault="00F2107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436DC"/>
    <w:multiLevelType w:val="multilevel"/>
    <w:tmpl w:val="CEBCA8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152315"/>
    <w:multiLevelType w:val="hybridMultilevel"/>
    <w:tmpl w:val="98882508"/>
    <w:lvl w:ilvl="0" w:tplc="CE60DECA">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48D535A"/>
    <w:multiLevelType w:val="multilevel"/>
    <w:tmpl w:val="CB724D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9C1042"/>
    <w:multiLevelType w:val="hybridMultilevel"/>
    <w:tmpl w:val="8B6AC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FA21AA"/>
    <w:multiLevelType w:val="hybridMultilevel"/>
    <w:tmpl w:val="7450B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DD9361C"/>
    <w:multiLevelType w:val="hybridMultilevel"/>
    <w:tmpl w:val="2C8AFF3C"/>
    <w:lvl w:ilvl="0" w:tplc="CE60DECA">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1C2E49"/>
    <w:multiLevelType w:val="hybridMultilevel"/>
    <w:tmpl w:val="DE3E7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4"/>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5F7B62"/>
    <w:rsid w:val="00024219"/>
    <w:rsid w:val="000736AC"/>
    <w:rsid w:val="000B1118"/>
    <w:rsid w:val="001E69BB"/>
    <w:rsid w:val="002D1547"/>
    <w:rsid w:val="003529B1"/>
    <w:rsid w:val="003E76F0"/>
    <w:rsid w:val="004E30D2"/>
    <w:rsid w:val="005F7B62"/>
    <w:rsid w:val="00675E7D"/>
    <w:rsid w:val="006C5794"/>
    <w:rsid w:val="006E1635"/>
    <w:rsid w:val="006E763B"/>
    <w:rsid w:val="0079640B"/>
    <w:rsid w:val="007B4E2B"/>
    <w:rsid w:val="00905C02"/>
    <w:rsid w:val="00911DA6"/>
    <w:rsid w:val="00A2770D"/>
    <w:rsid w:val="00AB7779"/>
    <w:rsid w:val="00B04E1E"/>
    <w:rsid w:val="00C7338E"/>
    <w:rsid w:val="00D36A01"/>
    <w:rsid w:val="00E21E22"/>
    <w:rsid w:val="00E80FC7"/>
    <w:rsid w:val="00F2107D"/>
    <w:rsid w:val="00F5247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100CF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B62"/>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5F7B62"/>
    <w:pPr>
      <w:spacing w:before="240" w:after="0" w:line="240" w:lineRule="auto"/>
      <w:outlineLvl w:val="0"/>
    </w:pPr>
    <w:rPr>
      <w:rFonts w:ascii="Verdana" w:hAnsi="Verdana"/>
      <w:b/>
      <w:bCs/>
      <w:i/>
      <w:iCs/>
      <w:sz w:val="28"/>
      <w:szCs w:val="32"/>
      <w:lang w:val="en-US" w:bidi="en-US"/>
    </w:rPr>
  </w:style>
  <w:style w:type="paragraph" w:styleId="Heading2">
    <w:name w:val="heading 2"/>
    <w:basedOn w:val="Normal"/>
    <w:next w:val="Normal"/>
    <w:link w:val="Heading2Char"/>
    <w:uiPriority w:val="9"/>
    <w:unhideWhenUsed/>
    <w:qFormat/>
    <w:rsid w:val="005F7B62"/>
    <w:pPr>
      <w:spacing w:before="80" w:after="0" w:line="360" w:lineRule="auto"/>
      <w:outlineLvl w:val="1"/>
    </w:pPr>
    <w:rPr>
      <w:rFonts w:ascii="Verdana" w:hAnsi="Verdana"/>
      <w:b/>
      <w:bCs/>
      <w:iCs/>
      <w:sz w:val="24"/>
      <w:szCs w:val="28"/>
      <w:lang w:val="en-US" w:bidi="en-US"/>
    </w:rPr>
  </w:style>
  <w:style w:type="paragraph" w:styleId="Heading3">
    <w:name w:val="heading 3"/>
    <w:basedOn w:val="Normal"/>
    <w:next w:val="Normal"/>
    <w:link w:val="Heading3Char"/>
    <w:uiPriority w:val="9"/>
    <w:unhideWhenUsed/>
    <w:qFormat/>
    <w:rsid w:val="005F7B62"/>
    <w:pPr>
      <w:spacing w:before="320" w:after="0" w:line="360" w:lineRule="auto"/>
      <w:outlineLvl w:val="2"/>
    </w:pPr>
    <w:rPr>
      <w:rFonts w:ascii="Verdana" w:hAnsi="Verdana"/>
      <w:b/>
      <w:bCs/>
      <w:iCs/>
      <w:sz w:val="24"/>
      <w:szCs w:val="26"/>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5F7B62"/>
    <w:rPr>
      <w:rFonts w:eastAsiaTheme="minorHAnsi"/>
      <w:sz w:val="22"/>
      <w:szCs w:val="22"/>
    </w:rPr>
  </w:style>
  <w:style w:type="character" w:customStyle="1" w:styleId="Heading1Char">
    <w:name w:val="Heading 1 Char"/>
    <w:basedOn w:val="DefaultParagraphFont"/>
    <w:link w:val="Heading1"/>
    <w:uiPriority w:val="9"/>
    <w:rsid w:val="005F7B62"/>
    <w:rPr>
      <w:rFonts w:ascii="Verdana" w:eastAsiaTheme="minorHAnsi" w:hAnsi="Verdana"/>
      <w:b/>
      <w:bCs/>
      <w:i/>
      <w:iCs/>
      <w:sz w:val="28"/>
      <w:szCs w:val="32"/>
      <w:lang w:val="en-US" w:bidi="en-US"/>
    </w:rPr>
  </w:style>
  <w:style w:type="character" w:customStyle="1" w:styleId="Heading2Char">
    <w:name w:val="Heading 2 Char"/>
    <w:basedOn w:val="DefaultParagraphFont"/>
    <w:link w:val="Heading2"/>
    <w:uiPriority w:val="9"/>
    <w:rsid w:val="005F7B62"/>
    <w:rPr>
      <w:rFonts w:ascii="Verdana" w:eastAsiaTheme="minorHAnsi" w:hAnsi="Verdana"/>
      <w:b/>
      <w:bCs/>
      <w:iCs/>
      <w:szCs w:val="28"/>
      <w:lang w:val="en-US" w:bidi="en-US"/>
    </w:rPr>
  </w:style>
  <w:style w:type="character" w:customStyle="1" w:styleId="Heading3Char">
    <w:name w:val="Heading 3 Char"/>
    <w:basedOn w:val="DefaultParagraphFont"/>
    <w:link w:val="Heading3"/>
    <w:uiPriority w:val="9"/>
    <w:rsid w:val="005F7B62"/>
    <w:rPr>
      <w:rFonts w:ascii="Verdana" w:eastAsiaTheme="minorHAnsi" w:hAnsi="Verdana"/>
      <w:b/>
      <w:bCs/>
      <w:iCs/>
      <w:szCs w:val="26"/>
      <w:lang w:val="en-US" w:bidi="en-US"/>
    </w:rPr>
  </w:style>
  <w:style w:type="character" w:styleId="Hyperlink">
    <w:name w:val="Hyperlink"/>
    <w:basedOn w:val="DefaultParagraphFont"/>
    <w:uiPriority w:val="99"/>
    <w:unhideWhenUsed/>
    <w:rsid w:val="005F7B62"/>
    <w:rPr>
      <w:color w:val="0000FF" w:themeColor="hyperlink"/>
      <w:u w:val="single"/>
    </w:rPr>
  </w:style>
  <w:style w:type="character" w:styleId="FollowedHyperlink">
    <w:name w:val="FollowedHyperlink"/>
    <w:basedOn w:val="DefaultParagraphFont"/>
    <w:uiPriority w:val="99"/>
    <w:semiHidden/>
    <w:unhideWhenUsed/>
    <w:rsid w:val="005F7B62"/>
    <w:rPr>
      <w:color w:val="800080" w:themeColor="followedHyperlink"/>
      <w:u w:val="single"/>
    </w:rPr>
  </w:style>
  <w:style w:type="table" w:styleId="LightShading">
    <w:name w:val="Light Shading"/>
    <w:basedOn w:val="TableNormal"/>
    <w:uiPriority w:val="60"/>
    <w:rsid w:val="005F7B62"/>
    <w:rPr>
      <w:rFonts w:eastAsiaTheme="minorHAns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5F7B6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F7B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7B62"/>
    <w:rPr>
      <w:rFonts w:ascii="Tahoma" w:eastAsiaTheme="minorHAnsi" w:hAnsi="Tahoma" w:cs="Tahoma"/>
      <w:sz w:val="16"/>
      <w:szCs w:val="16"/>
    </w:rPr>
  </w:style>
  <w:style w:type="paragraph" w:styleId="ListParagraph">
    <w:name w:val="List Paragraph"/>
    <w:basedOn w:val="Normal"/>
    <w:uiPriority w:val="34"/>
    <w:qFormat/>
    <w:rsid w:val="005F7B62"/>
    <w:pPr>
      <w:ind w:left="720"/>
      <w:contextualSpacing/>
    </w:pPr>
  </w:style>
  <w:style w:type="character" w:styleId="CommentReference">
    <w:name w:val="annotation reference"/>
    <w:basedOn w:val="DefaultParagraphFont"/>
    <w:uiPriority w:val="99"/>
    <w:semiHidden/>
    <w:unhideWhenUsed/>
    <w:rsid w:val="005F7B62"/>
    <w:rPr>
      <w:sz w:val="18"/>
      <w:szCs w:val="18"/>
    </w:rPr>
  </w:style>
  <w:style w:type="paragraph" w:styleId="CommentText">
    <w:name w:val="annotation text"/>
    <w:basedOn w:val="Normal"/>
    <w:link w:val="CommentTextChar"/>
    <w:uiPriority w:val="99"/>
    <w:semiHidden/>
    <w:unhideWhenUsed/>
    <w:rsid w:val="005F7B62"/>
    <w:pPr>
      <w:spacing w:line="240" w:lineRule="auto"/>
    </w:pPr>
    <w:rPr>
      <w:sz w:val="24"/>
      <w:szCs w:val="24"/>
    </w:rPr>
  </w:style>
  <w:style w:type="character" w:customStyle="1" w:styleId="CommentTextChar">
    <w:name w:val="Comment Text Char"/>
    <w:basedOn w:val="DefaultParagraphFont"/>
    <w:link w:val="CommentText"/>
    <w:uiPriority w:val="99"/>
    <w:semiHidden/>
    <w:rsid w:val="005F7B62"/>
    <w:rPr>
      <w:rFonts w:eastAsiaTheme="minorHAnsi"/>
    </w:rPr>
  </w:style>
  <w:style w:type="paragraph" w:styleId="CommentSubject">
    <w:name w:val="annotation subject"/>
    <w:basedOn w:val="CommentText"/>
    <w:next w:val="CommentText"/>
    <w:link w:val="CommentSubjectChar"/>
    <w:uiPriority w:val="99"/>
    <w:semiHidden/>
    <w:unhideWhenUsed/>
    <w:rsid w:val="005F7B62"/>
    <w:rPr>
      <w:b/>
      <w:bCs/>
      <w:sz w:val="20"/>
      <w:szCs w:val="20"/>
    </w:rPr>
  </w:style>
  <w:style w:type="character" w:customStyle="1" w:styleId="CommentSubjectChar">
    <w:name w:val="Comment Subject Char"/>
    <w:basedOn w:val="CommentTextChar"/>
    <w:link w:val="CommentSubject"/>
    <w:uiPriority w:val="99"/>
    <w:semiHidden/>
    <w:rsid w:val="005F7B62"/>
    <w:rPr>
      <w:rFonts w:eastAsiaTheme="minorHAnsi"/>
      <w:b/>
      <w:bCs/>
      <w:sz w:val="20"/>
      <w:szCs w:val="20"/>
    </w:rPr>
  </w:style>
  <w:style w:type="character" w:customStyle="1" w:styleId="apple-converted-space">
    <w:name w:val="apple-converted-space"/>
    <w:basedOn w:val="DefaultParagraphFont"/>
    <w:rsid w:val="005F7B62"/>
  </w:style>
  <w:style w:type="character" w:styleId="Emphasis">
    <w:name w:val="Emphasis"/>
    <w:basedOn w:val="DefaultParagraphFont"/>
    <w:uiPriority w:val="20"/>
    <w:qFormat/>
    <w:rsid w:val="005F7B62"/>
    <w:rPr>
      <w:i/>
      <w:iCs/>
    </w:rPr>
  </w:style>
  <w:style w:type="character" w:styleId="PlaceholderText">
    <w:name w:val="Placeholder Text"/>
    <w:basedOn w:val="DefaultParagraphFont"/>
    <w:uiPriority w:val="99"/>
    <w:semiHidden/>
    <w:rsid w:val="005F7B62"/>
    <w:rPr>
      <w:color w:val="808080"/>
    </w:rPr>
  </w:style>
  <w:style w:type="paragraph" w:styleId="Revision">
    <w:name w:val="Revision"/>
    <w:hidden/>
    <w:uiPriority w:val="99"/>
    <w:semiHidden/>
    <w:rsid w:val="005F7B62"/>
    <w:rPr>
      <w:rFonts w:eastAsiaTheme="minorHAnsi"/>
      <w:sz w:val="22"/>
      <w:szCs w:val="22"/>
    </w:rPr>
  </w:style>
  <w:style w:type="character" w:styleId="Strong">
    <w:name w:val="Strong"/>
    <w:basedOn w:val="DefaultParagraphFont"/>
    <w:uiPriority w:val="22"/>
    <w:qFormat/>
    <w:rsid w:val="005F7B62"/>
    <w:rPr>
      <w:b/>
      <w:bCs/>
    </w:rPr>
  </w:style>
  <w:style w:type="paragraph" w:styleId="Header">
    <w:name w:val="header"/>
    <w:basedOn w:val="Normal"/>
    <w:link w:val="HeaderChar"/>
    <w:uiPriority w:val="99"/>
    <w:unhideWhenUsed/>
    <w:rsid w:val="005F7B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7B62"/>
    <w:rPr>
      <w:rFonts w:eastAsiaTheme="minorHAnsi"/>
      <w:sz w:val="22"/>
      <w:szCs w:val="22"/>
    </w:rPr>
  </w:style>
  <w:style w:type="paragraph" w:styleId="Footer">
    <w:name w:val="footer"/>
    <w:basedOn w:val="Normal"/>
    <w:link w:val="FooterChar"/>
    <w:uiPriority w:val="99"/>
    <w:unhideWhenUsed/>
    <w:rsid w:val="005F7B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7B62"/>
    <w:rPr>
      <w:rFonts w:eastAsiaTheme="minorHAnsi"/>
      <w:sz w:val="22"/>
      <w:szCs w:val="22"/>
    </w:rPr>
  </w:style>
  <w:style w:type="paragraph" w:customStyle="1" w:styleId="EndNoteBibliographyTitle">
    <w:name w:val="EndNote Bibliography Title"/>
    <w:basedOn w:val="Normal"/>
    <w:rsid w:val="005F7B62"/>
    <w:pPr>
      <w:spacing w:after="0"/>
      <w:jc w:val="center"/>
    </w:pPr>
    <w:rPr>
      <w:rFonts w:ascii="Calibri" w:hAnsi="Calibri"/>
      <w:lang w:val="en-US"/>
    </w:rPr>
  </w:style>
  <w:style w:type="paragraph" w:customStyle="1" w:styleId="EndNoteBibliography">
    <w:name w:val="EndNote Bibliography"/>
    <w:basedOn w:val="Normal"/>
    <w:rsid w:val="005F7B62"/>
    <w:pPr>
      <w:spacing w:line="240" w:lineRule="auto"/>
      <w:jc w:val="both"/>
    </w:pPr>
    <w:rPr>
      <w:rFonts w:ascii="Calibri" w:hAnsi="Calibri"/>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B62"/>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5F7B62"/>
    <w:pPr>
      <w:spacing w:before="240" w:after="0" w:line="240" w:lineRule="auto"/>
      <w:outlineLvl w:val="0"/>
    </w:pPr>
    <w:rPr>
      <w:rFonts w:ascii="Verdana" w:hAnsi="Verdana"/>
      <w:b/>
      <w:bCs/>
      <w:i/>
      <w:iCs/>
      <w:sz w:val="28"/>
      <w:szCs w:val="32"/>
      <w:lang w:val="en-US" w:bidi="en-US"/>
    </w:rPr>
  </w:style>
  <w:style w:type="paragraph" w:styleId="Heading2">
    <w:name w:val="heading 2"/>
    <w:basedOn w:val="Normal"/>
    <w:next w:val="Normal"/>
    <w:link w:val="Heading2Char"/>
    <w:uiPriority w:val="9"/>
    <w:unhideWhenUsed/>
    <w:qFormat/>
    <w:rsid w:val="005F7B62"/>
    <w:pPr>
      <w:spacing w:before="80" w:after="0" w:line="360" w:lineRule="auto"/>
      <w:outlineLvl w:val="1"/>
    </w:pPr>
    <w:rPr>
      <w:rFonts w:ascii="Verdana" w:hAnsi="Verdana"/>
      <w:b/>
      <w:bCs/>
      <w:iCs/>
      <w:sz w:val="24"/>
      <w:szCs w:val="28"/>
      <w:lang w:val="en-US" w:bidi="en-US"/>
    </w:rPr>
  </w:style>
  <w:style w:type="paragraph" w:styleId="Heading3">
    <w:name w:val="heading 3"/>
    <w:basedOn w:val="Normal"/>
    <w:next w:val="Normal"/>
    <w:link w:val="Heading3Char"/>
    <w:uiPriority w:val="9"/>
    <w:unhideWhenUsed/>
    <w:qFormat/>
    <w:rsid w:val="005F7B62"/>
    <w:pPr>
      <w:spacing w:before="320" w:after="0" w:line="360" w:lineRule="auto"/>
      <w:outlineLvl w:val="2"/>
    </w:pPr>
    <w:rPr>
      <w:rFonts w:ascii="Verdana" w:hAnsi="Verdana"/>
      <w:b/>
      <w:bCs/>
      <w:iCs/>
      <w:sz w:val="24"/>
      <w:szCs w:val="26"/>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5F7B62"/>
    <w:rPr>
      <w:rFonts w:eastAsiaTheme="minorHAnsi"/>
      <w:sz w:val="22"/>
      <w:szCs w:val="22"/>
    </w:rPr>
  </w:style>
  <w:style w:type="character" w:customStyle="1" w:styleId="Heading1Char">
    <w:name w:val="Heading 1 Char"/>
    <w:basedOn w:val="DefaultParagraphFont"/>
    <w:link w:val="Heading1"/>
    <w:uiPriority w:val="9"/>
    <w:rsid w:val="005F7B62"/>
    <w:rPr>
      <w:rFonts w:ascii="Verdana" w:eastAsiaTheme="minorHAnsi" w:hAnsi="Verdana"/>
      <w:b/>
      <w:bCs/>
      <w:i/>
      <w:iCs/>
      <w:sz w:val="28"/>
      <w:szCs w:val="32"/>
      <w:lang w:val="en-US" w:bidi="en-US"/>
    </w:rPr>
  </w:style>
  <w:style w:type="character" w:customStyle="1" w:styleId="Heading2Char">
    <w:name w:val="Heading 2 Char"/>
    <w:basedOn w:val="DefaultParagraphFont"/>
    <w:link w:val="Heading2"/>
    <w:uiPriority w:val="9"/>
    <w:rsid w:val="005F7B62"/>
    <w:rPr>
      <w:rFonts w:ascii="Verdana" w:eastAsiaTheme="minorHAnsi" w:hAnsi="Verdana"/>
      <w:b/>
      <w:bCs/>
      <w:iCs/>
      <w:szCs w:val="28"/>
      <w:lang w:val="en-US" w:bidi="en-US"/>
    </w:rPr>
  </w:style>
  <w:style w:type="character" w:customStyle="1" w:styleId="Heading3Char">
    <w:name w:val="Heading 3 Char"/>
    <w:basedOn w:val="DefaultParagraphFont"/>
    <w:link w:val="Heading3"/>
    <w:uiPriority w:val="9"/>
    <w:rsid w:val="005F7B62"/>
    <w:rPr>
      <w:rFonts w:ascii="Verdana" w:eastAsiaTheme="minorHAnsi" w:hAnsi="Verdana"/>
      <w:b/>
      <w:bCs/>
      <w:iCs/>
      <w:szCs w:val="26"/>
      <w:lang w:val="en-US" w:bidi="en-US"/>
    </w:rPr>
  </w:style>
  <w:style w:type="character" w:styleId="Hyperlink">
    <w:name w:val="Hyperlink"/>
    <w:basedOn w:val="DefaultParagraphFont"/>
    <w:uiPriority w:val="99"/>
    <w:unhideWhenUsed/>
    <w:rsid w:val="005F7B62"/>
    <w:rPr>
      <w:color w:val="0000FF" w:themeColor="hyperlink"/>
      <w:u w:val="single"/>
    </w:rPr>
  </w:style>
  <w:style w:type="character" w:styleId="FollowedHyperlink">
    <w:name w:val="FollowedHyperlink"/>
    <w:basedOn w:val="DefaultParagraphFont"/>
    <w:uiPriority w:val="99"/>
    <w:semiHidden/>
    <w:unhideWhenUsed/>
    <w:rsid w:val="005F7B62"/>
    <w:rPr>
      <w:color w:val="800080" w:themeColor="followedHyperlink"/>
      <w:u w:val="single"/>
    </w:rPr>
  </w:style>
  <w:style w:type="table" w:styleId="LightShading">
    <w:name w:val="Light Shading"/>
    <w:basedOn w:val="TableNormal"/>
    <w:uiPriority w:val="60"/>
    <w:rsid w:val="005F7B62"/>
    <w:rPr>
      <w:rFonts w:eastAsiaTheme="minorHAns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5F7B6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F7B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7B62"/>
    <w:rPr>
      <w:rFonts w:ascii="Tahoma" w:eastAsiaTheme="minorHAnsi" w:hAnsi="Tahoma" w:cs="Tahoma"/>
      <w:sz w:val="16"/>
      <w:szCs w:val="16"/>
    </w:rPr>
  </w:style>
  <w:style w:type="paragraph" w:styleId="ListParagraph">
    <w:name w:val="List Paragraph"/>
    <w:basedOn w:val="Normal"/>
    <w:uiPriority w:val="34"/>
    <w:qFormat/>
    <w:rsid w:val="005F7B62"/>
    <w:pPr>
      <w:ind w:left="720"/>
      <w:contextualSpacing/>
    </w:pPr>
  </w:style>
  <w:style w:type="character" w:styleId="CommentReference">
    <w:name w:val="annotation reference"/>
    <w:basedOn w:val="DefaultParagraphFont"/>
    <w:uiPriority w:val="99"/>
    <w:semiHidden/>
    <w:unhideWhenUsed/>
    <w:rsid w:val="005F7B62"/>
    <w:rPr>
      <w:sz w:val="18"/>
      <w:szCs w:val="18"/>
    </w:rPr>
  </w:style>
  <w:style w:type="paragraph" w:styleId="CommentText">
    <w:name w:val="annotation text"/>
    <w:basedOn w:val="Normal"/>
    <w:link w:val="CommentTextChar"/>
    <w:uiPriority w:val="99"/>
    <w:semiHidden/>
    <w:unhideWhenUsed/>
    <w:rsid w:val="005F7B62"/>
    <w:pPr>
      <w:spacing w:line="240" w:lineRule="auto"/>
    </w:pPr>
    <w:rPr>
      <w:sz w:val="24"/>
      <w:szCs w:val="24"/>
    </w:rPr>
  </w:style>
  <w:style w:type="character" w:customStyle="1" w:styleId="CommentTextChar">
    <w:name w:val="Comment Text Char"/>
    <w:basedOn w:val="DefaultParagraphFont"/>
    <w:link w:val="CommentText"/>
    <w:uiPriority w:val="99"/>
    <w:semiHidden/>
    <w:rsid w:val="005F7B62"/>
    <w:rPr>
      <w:rFonts w:eastAsiaTheme="minorHAnsi"/>
    </w:rPr>
  </w:style>
  <w:style w:type="paragraph" w:styleId="CommentSubject">
    <w:name w:val="annotation subject"/>
    <w:basedOn w:val="CommentText"/>
    <w:next w:val="CommentText"/>
    <w:link w:val="CommentSubjectChar"/>
    <w:uiPriority w:val="99"/>
    <w:semiHidden/>
    <w:unhideWhenUsed/>
    <w:rsid w:val="005F7B62"/>
    <w:rPr>
      <w:b/>
      <w:bCs/>
      <w:sz w:val="20"/>
      <w:szCs w:val="20"/>
    </w:rPr>
  </w:style>
  <w:style w:type="character" w:customStyle="1" w:styleId="CommentSubjectChar">
    <w:name w:val="Comment Subject Char"/>
    <w:basedOn w:val="CommentTextChar"/>
    <w:link w:val="CommentSubject"/>
    <w:uiPriority w:val="99"/>
    <w:semiHidden/>
    <w:rsid w:val="005F7B62"/>
    <w:rPr>
      <w:rFonts w:eastAsiaTheme="minorHAnsi"/>
      <w:b/>
      <w:bCs/>
      <w:sz w:val="20"/>
      <w:szCs w:val="20"/>
    </w:rPr>
  </w:style>
  <w:style w:type="character" w:customStyle="1" w:styleId="apple-converted-space">
    <w:name w:val="apple-converted-space"/>
    <w:basedOn w:val="DefaultParagraphFont"/>
    <w:rsid w:val="005F7B62"/>
  </w:style>
  <w:style w:type="character" w:styleId="Emphasis">
    <w:name w:val="Emphasis"/>
    <w:basedOn w:val="DefaultParagraphFont"/>
    <w:uiPriority w:val="20"/>
    <w:qFormat/>
    <w:rsid w:val="005F7B62"/>
    <w:rPr>
      <w:i/>
      <w:iCs/>
    </w:rPr>
  </w:style>
  <w:style w:type="character" w:styleId="PlaceholderText">
    <w:name w:val="Placeholder Text"/>
    <w:basedOn w:val="DefaultParagraphFont"/>
    <w:uiPriority w:val="99"/>
    <w:semiHidden/>
    <w:rsid w:val="005F7B62"/>
    <w:rPr>
      <w:color w:val="808080"/>
    </w:rPr>
  </w:style>
  <w:style w:type="paragraph" w:styleId="Revision">
    <w:name w:val="Revision"/>
    <w:hidden/>
    <w:uiPriority w:val="99"/>
    <w:semiHidden/>
    <w:rsid w:val="005F7B62"/>
    <w:rPr>
      <w:rFonts w:eastAsiaTheme="minorHAnsi"/>
      <w:sz w:val="22"/>
      <w:szCs w:val="22"/>
    </w:rPr>
  </w:style>
  <w:style w:type="character" w:styleId="Strong">
    <w:name w:val="Strong"/>
    <w:basedOn w:val="DefaultParagraphFont"/>
    <w:uiPriority w:val="22"/>
    <w:qFormat/>
    <w:rsid w:val="005F7B62"/>
    <w:rPr>
      <w:b/>
      <w:bCs/>
    </w:rPr>
  </w:style>
  <w:style w:type="paragraph" w:styleId="Header">
    <w:name w:val="header"/>
    <w:basedOn w:val="Normal"/>
    <w:link w:val="HeaderChar"/>
    <w:uiPriority w:val="99"/>
    <w:unhideWhenUsed/>
    <w:rsid w:val="005F7B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7B62"/>
    <w:rPr>
      <w:rFonts w:eastAsiaTheme="minorHAnsi"/>
      <w:sz w:val="22"/>
      <w:szCs w:val="22"/>
    </w:rPr>
  </w:style>
  <w:style w:type="paragraph" w:styleId="Footer">
    <w:name w:val="footer"/>
    <w:basedOn w:val="Normal"/>
    <w:link w:val="FooterChar"/>
    <w:uiPriority w:val="99"/>
    <w:unhideWhenUsed/>
    <w:rsid w:val="005F7B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7B62"/>
    <w:rPr>
      <w:rFonts w:eastAsiaTheme="minorHAnsi"/>
      <w:sz w:val="22"/>
      <w:szCs w:val="22"/>
    </w:rPr>
  </w:style>
  <w:style w:type="paragraph" w:customStyle="1" w:styleId="EndNoteBibliographyTitle">
    <w:name w:val="EndNote Bibliography Title"/>
    <w:basedOn w:val="Normal"/>
    <w:rsid w:val="005F7B62"/>
    <w:pPr>
      <w:spacing w:after="0"/>
      <w:jc w:val="center"/>
    </w:pPr>
    <w:rPr>
      <w:rFonts w:ascii="Calibri" w:hAnsi="Calibri"/>
      <w:lang w:val="en-US"/>
    </w:rPr>
  </w:style>
  <w:style w:type="paragraph" w:customStyle="1" w:styleId="EndNoteBibliography">
    <w:name w:val="EndNote Bibliography"/>
    <w:basedOn w:val="Normal"/>
    <w:rsid w:val="005F7B62"/>
    <w:pPr>
      <w:spacing w:line="240" w:lineRule="auto"/>
      <w:jc w:val="both"/>
    </w:pPr>
    <w:rPr>
      <w:rFonts w:ascii="Calibri" w:hAnsi="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2468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joanna.taylor@port.ac.uk" TargetMode="External"/><Relationship Id="rId12" Type="http://schemas.openxmlformats.org/officeDocument/2006/relationships/hyperlink" Target="mailto:liz.twigg@port.ac.uk" TargetMode="External"/><Relationship Id="rId13" Type="http://schemas.openxmlformats.org/officeDocument/2006/relationships/hyperlink" Target="mailto:G.Moon@soton.ac.uk" TargetMode="External"/><Relationship Id="rId14" Type="http://schemas.openxmlformats.org/officeDocument/2006/relationships/hyperlink" Target="mailto:lisa.szatkowski@nottingham.ac.uk" TargetMode="External"/><Relationship Id="rId15" Type="http://schemas.openxmlformats.org/officeDocument/2006/relationships/hyperlink" Target="mailto:lisa.szatkowski@nottingham.ac.uk" TargetMode="Externa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lisa.szatkowski@nottingham.ac.uk" TargetMode="External"/><Relationship Id="rId9" Type="http://schemas.openxmlformats.org/officeDocument/2006/relationships/hyperlink" Target="mailto:samantha.fahy@nottingham.ac.uk" TargetMode="External"/><Relationship Id="rId10" Type="http://schemas.openxmlformats.org/officeDocument/2006/relationships/hyperlink" Target="mailto:tim.coleman@nottingham.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24</Pages>
  <Words>5301</Words>
  <Characters>30221</Characters>
  <Application>Microsoft Macintosh Word</Application>
  <DocSecurity>0</DocSecurity>
  <Lines>251</Lines>
  <Paragraphs>70</Paragraphs>
  <ScaleCrop>false</ScaleCrop>
  <Company>UoN</Company>
  <LinksUpToDate>false</LinksUpToDate>
  <CharactersWithSpaces>35452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Szatkowski</dc:creator>
  <cp:keywords/>
  <dc:description/>
  <cp:lastModifiedBy>Lisa Szatkowski</cp:lastModifiedBy>
  <cp:revision>12</cp:revision>
  <dcterms:created xsi:type="dcterms:W3CDTF">2015-11-19T09:13:00Z</dcterms:created>
  <dcterms:modified xsi:type="dcterms:W3CDTF">2015-11-26T11:51:00Z</dcterms:modified>
</cp:coreProperties>
</file>